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1A" w:rsidRPr="008C0226" w:rsidRDefault="00EE19F4" w:rsidP="008F041A">
      <w:pPr>
        <w:pStyle w:val="Default"/>
      </w:pPr>
      <w:bookmarkStart w:id="0" w:name="_GoBack"/>
      <w:bookmarkEnd w:id="0"/>
      <w:r>
        <w:rPr>
          <w:b/>
          <w:bCs/>
        </w:rPr>
        <w:t xml:space="preserve">Appendix 1 - </w:t>
      </w:r>
      <w:r w:rsidR="00084211">
        <w:rPr>
          <w:b/>
          <w:bCs/>
        </w:rPr>
        <w:t xml:space="preserve">Rent </w:t>
      </w:r>
      <w:r w:rsidR="005C582C">
        <w:rPr>
          <w:b/>
          <w:bCs/>
        </w:rPr>
        <w:t>&amp; Lettings P</w:t>
      </w:r>
      <w:r w:rsidR="00084211">
        <w:rPr>
          <w:b/>
          <w:bCs/>
        </w:rPr>
        <w:t>olicy</w:t>
      </w:r>
      <w:r w:rsidR="005C582C">
        <w:rPr>
          <w:b/>
          <w:bCs/>
        </w:rPr>
        <w:t xml:space="preserve"> (Reserved Policy)</w:t>
      </w:r>
    </w:p>
    <w:p w:rsidR="001B1F82" w:rsidRDefault="001B1F82" w:rsidP="008F041A">
      <w:pPr>
        <w:pStyle w:val="Default"/>
        <w:rPr>
          <w:b/>
          <w:bCs/>
        </w:rPr>
      </w:pPr>
    </w:p>
    <w:p w:rsidR="008F041A" w:rsidRPr="000E4056" w:rsidRDefault="008F041A" w:rsidP="008F041A">
      <w:pPr>
        <w:pStyle w:val="Default"/>
      </w:pPr>
      <w:r w:rsidRPr="000E4056">
        <w:rPr>
          <w:b/>
          <w:bCs/>
        </w:rPr>
        <w:t xml:space="preserve">Policy Statement </w:t>
      </w:r>
    </w:p>
    <w:p w:rsidR="008F041A" w:rsidRPr="008C0226" w:rsidRDefault="008F041A" w:rsidP="008F041A">
      <w:pPr>
        <w:pStyle w:val="Default"/>
      </w:pPr>
    </w:p>
    <w:p w:rsidR="00A63E10" w:rsidRDefault="00A63E10" w:rsidP="00A63E10">
      <w:r>
        <w:t xml:space="preserve">OCHL properties to be let at </w:t>
      </w:r>
      <w:r w:rsidR="00061A9D">
        <w:rPr>
          <w:color w:val="000000" w:themeColor="text1"/>
        </w:rPr>
        <w:t xml:space="preserve">social, affordable, intermediate or market </w:t>
      </w:r>
      <w:r>
        <w:t xml:space="preserve">rents </w:t>
      </w:r>
      <w:r w:rsidR="00061A9D">
        <w:t xml:space="preserve">levels </w:t>
      </w:r>
      <w:r>
        <w:t xml:space="preserve">will be let to nominees of </w:t>
      </w:r>
      <w:r w:rsidR="00097620">
        <w:t>O</w:t>
      </w:r>
      <w:r w:rsidR="00061A9D">
        <w:t>xford City Council</w:t>
      </w:r>
      <w:r>
        <w:t xml:space="preserve"> under its Choice Based Lettings</w:t>
      </w:r>
      <w:r w:rsidR="00061A9D">
        <w:t xml:space="preserve"> system, in accordance with </w:t>
      </w:r>
      <w:r w:rsidR="00097620">
        <w:t>O</w:t>
      </w:r>
      <w:r w:rsidR="00061A9D">
        <w:t xml:space="preserve">xford City Council’s </w:t>
      </w:r>
      <w:r>
        <w:t xml:space="preserve">Allocations Scheme. </w:t>
      </w:r>
    </w:p>
    <w:p w:rsidR="0030589F" w:rsidRDefault="0030589F" w:rsidP="00A63E10"/>
    <w:p w:rsidR="0030589F" w:rsidRDefault="0030589F" w:rsidP="00A63E10">
      <w:r>
        <w:t xml:space="preserve">Where an applicant is a </w:t>
      </w:r>
      <w:proofErr w:type="gramStart"/>
      <w:r>
        <w:t>Secure</w:t>
      </w:r>
      <w:proofErr w:type="gramEnd"/>
      <w:r>
        <w:t xml:space="preserve"> tenant of a Local Authority or an Assured (Non-Shorthold) tenant of a Registered Provider, they will be offered an Assured (Non-Shorthold) Tenancy. </w:t>
      </w:r>
    </w:p>
    <w:p w:rsidR="0030589F" w:rsidRDefault="0030589F" w:rsidP="00A63E10"/>
    <w:p w:rsidR="0030589F" w:rsidRDefault="0030589F" w:rsidP="00A63E10">
      <w:r>
        <w:t xml:space="preserve">Where an applicant is not a </w:t>
      </w:r>
      <w:proofErr w:type="gramStart"/>
      <w:r>
        <w:t>Secure</w:t>
      </w:r>
      <w:proofErr w:type="gramEnd"/>
      <w:r>
        <w:t xml:space="preserve"> tenant of a Local Authority or an Assured (Non-Shorthold) tenant of a Registered Provider, they will be offered a Starter Tenancy which will be an Assured Shorthold Tenancy. Providing that the tenant does not breach any of the conditions of the Tenancy Agreement, after 12 months they will be offered an Assured (Non-Shorthold) Tenancy.</w:t>
      </w:r>
    </w:p>
    <w:p w:rsidR="00A63E10" w:rsidRDefault="00A63E10" w:rsidP="00A63E10"/>
    <w:p w:rsidR="00A63E10" w:rsidRDefault="00A63E10" w:rsidP="00A63E10">
      <w:r>
        <w:t xml:space="preserve">OCHL determines that certain categories of applicant would not be considered as suitable as nominees. Those categories are set out in this policy.  </w:t>
      </w:r>
    </w:p>
    <w:p w:rsidR="00CD40CD" w:rsidRDefault="00CD40CD" w:rsidP="00CD40CD">
      <w:pPr>
        <w:pStyle w:val="Default"/>
        <w:rPr>
          <w:color w:val="000000" w:themeColor="text1"/>
        </w:rPr>
      </w:pPr>
    </w:p>
    <w:p w:rsidR="00CD40CD" w:rsidRDefault="00CD40CD" w:rsidP="00CD40CD">
      <w:pPr>
        <w:pStyle w:val="Default"/>
        <w:rPr>
          <w:bCs/>
        </w:rPr>
      </w:pPr>
      <w:r w:rsidRPr="00FA17A9">
        <w:rPr>
          <w:bCs/>
        </w:rPr>
        <w:t>Th</w:t>
      </w:r>
      <w:r>
        <w:rPr>
          <w:bCs/>
        </w:rPr>
        <w:t xml:space="preserve">is policy sets out the methodology to be adopted by OCHL with regards to its rent and service charges setting activities across all its rental tenure types. </w:t>
      </w:r>
    </w:p>
    <w:p w:rsidR="00CD40CD" w:rsidRDefault="00CD40CD" w:rsidP="00CD40CD">
      <w:pPr>
        <w:pStyle w:val="Default"/>
        <w:rPr>
          <w:bCs/>
        </w:rPr>
      </w:pPr>
    </w:p>
    <w:p w:rsidR="00CD40CD" w:rsidRDefault="00CD40CD" w:rsidP="00CD40CD">
      <w:pPr>
        <w:pStyle w:val="Default"/>
        <w:rPr>
          <w:color w:val="000000" w:themeColor="text1"/>
        </w:rPr>
      </w:pPr>
      <w:r>
        <w:rPr>
          <w:color w:val="000000" w:themeColor="text1"/>
        </w:rPr>
        <w:t>OCHL will set initial property rent at social, affordable, intermediate or market levels, in accordance with the requirements of the individual development scheme and the OCHL Business Plan.</w:t>
      </w:r>
      <w:r w:rsidR="00FD7490">
        <w:rPr>
          <w:color w:val="000000" w:themeColor="text1"/>
        </w:rPr>
        <w:t xml:space="preserve"> </w:t>
      </w:r>
      <w:r w:rsidR="00061A9D">
        <w:rPr>
          <w:color w:val="000000" w:themeColor="text1"/>
        </w:rPr>
        <w:t>The tenancy a</w:t>
      </w:r>
      <w:r>
        <w:rPr>
          <w:color w:val="000000" w:themeColor="text1"/>
        </w:rPr>
        <w:t>greement sets out the provisions for i</w:t>
      </w:r>
      <w:r w:rsidR="001C2684">
        <w:rPr>
          <w:color w:val="000000" w:themeColor="text1"/>
        </w:rPr>
        <w:t xml:space="preserve">ncreasing rent during the </w:t>
      </w:r>
      <w:r>
        <w:rPr>
          <w:color w:val="000000" w:themeColor="text1"/>
        </w:rPr>
        <w:t xml:space="preserve">term of an Assured </w:t>
      </w:r>
      <w:r w:rsidR="001C2684">
        <w:rPr>
          <w:color w:val="000000" w:themeColor="text1"/>
        </w:rPr>
        <w:t>Non-</w:t>
      </w:r>
      <w:r>
        <w:rPr>
          <w:color w:val="000000" w:themeColor="text1"/>
        </w:rPr>
        <w:t>Shorthold Tenancy</w:t>
      </w:r>
      <w:r w:rsidR="00A75E15">
        <w:rPr>
          <w:color w:val="000000" w:themeColor="text1"/>
        </w:rPr>
        <w:t xml:space="preserve"> or an Assured Shorthold Tenancy</w:t>
      </w:r>
      <w:r>
        <w:rPr>
          <w:color w:val="000000" w:themeColor="text1"/>
        </w:rPr>
        <w:t xml:space="preserve">. </w:t>
      </w:r>
    </w:p>
    <w:p w:rsidR="00406BB6" w:rsidRDefault="00406BB6" w:rsidP="002D3632"/>
    <w:p w:rsidR="00042CE2" w:rsidRDefault="00042CE2" w:rsidP="002D3632">
      <w:r w:rsidRPr="00042CE2">
        <w:t xml:space="preserve">This policy supports the strategic requirements of the </w:t>
      </w:r>
      <w:r w:rsidR="000E4056">
        <w:t>OCHL</w:t>
      </w:r>
      <w:r w:rsidRPr="00042CE2">
        <w:t xml:space="preserve"> Business</w:t>
      </w:r>
      <w:r>
        <w:t xml:space="preserve"> and Strategic Development Plan.</w:t>
      </w:r>
    </w:p>
    <w:p w:rsidR="00FD7490" w:rsidRPr="00FD7490" w:rsidRDefault="00042CE2" w:rsidP="00FD7490">
      <w:pPr>
        <w:pStyle w:val="Default"/>
        <w:ind w:left="720"/>
      </w:pPr>
      <w:r w:rsidRPr="008C0226">
        <w:t xml:space="preserve"> </w:t>
      </w:r>
    </w:p>
    <w:p w:rsidR="009F566C" w:rsidRPr="00E35824" w:rsidRDefault="009F566C" w:rsidP="008F041A">
      <w:pPr>
        <w:pStyle w:val="Default"/>
      </w:pPr>
      <w:r w:rsidRPr="00E35824">
        <w:rPr>
          <w:b/>
          <w:bCs/>
        </w:rPr>
        <w:t xml:space="preserve">Objectives </w:t>
      </w:r>
    </w:p>
    <w:p w:rsidR="009F566C" w:rsidRPr="008C0226" w:rsidRDefault="009F566C" w:rsidP="008F041A">
      <w:pPr>
        <w:pStyle w:val="Default"/>
        <w:rPr>
          <w:i/>
          <w:color w:val="1F497D" w:themeColor="text2"/>
        </w:rPr>
      </w:pPr>
    </w:p>
    <w:p w:rsidR="00E35824" w:rsidRDefault="00E35824" w:rsidP="002D3632">
      <w:pPr>
        <w:pStyle w:val="Default"/>
        <w:rPr>
          <w:color w:val="auto"/>
        </w:rPr>
      </w:pPr>
      <w:r>
        <w:rPr>
          <w:color w:val="auto"/>
        </w:rPr>
        <w:t>The policy ensures that:</w:t>
      </w:r>
    </w:p>
    <w:p w:rsidR="00E35824" w:rsidRDefault="00E35824" w:rsidP="00E35824">
      <w:pPr>
        <w:pStyle w:val="Default"/>
        <w:rPr>
          <w:color w:val="auto"/>
        </w:rPr>
      </w:pPr>
    </w:p>
    <w:p w:rsidR="00A63E10" w:rsidRDefault="00A63E10" w:rsidP="00A63E10">
      <w:pPr>
        <w:pStyle w:val="Default"/>
        <w:numPr>
          <w:ilvl w:val="0"/>
          <w:numId w:val="2"/>
        </w:numPr>
        <w:rPr>
          <w:color w:val="auto"/>
        </w:rPr>
      </w:pPr>
      <w:r>
        <w:rPr>
          <w:color w:val="auto"/>
        </w:rPr>
        <w:t>OCHL makes the best use of its housing stock and m</w:t>
      </w:r>
      <w:r w:rsidRPr="00CD40CD">
        <w:rPr>
          <w:color w:val="auto"/>
        </w:rPr>
        <w:t xml:space="preserve">inimises </w:t>
      </w:r>
      <w:r w:rsidR="00CD40CD" w:rsidRPr="00CD40CD">
        <w:rPr>
          <w:bCs/>
        </w:rPr>
        <w:t>the risk of excessive rent loss and tenancy failure by making appropriate allocations</w:t>
      </w:r>
      <w:r w:rsidR="00CD40CD" w:rsidRPr="00CD40CD">
        <w:rPr>
          <w:color w:val="auto"/>
        </w:rPr>
        <w:t xml:space="preserve"> </w:t>
      </w:r>
    </w:p>
    <w:p w:rsidR="00CD40CD" w:rsidRPr="00CD40CD" w:rsidRDefault="00CD40CD" w:rsidP="00CD40CD">
      <w:pPr>
        <w:pStyle w:val="Default"/>
        <w:numPr>
          <w:ilvl w:val="0"/>
          <w:numId w:val="2"/>
        </w:numPr>
        <w:rPr>
          <w:bCs/>
        </w:rPr>
      </w:pPr>
      <w:r w:rsidRPr="00CD40CD">
        <w:rPr>
          <w:bCs/>
        </w:rPr>
        <w:t>To ensure that properties are let to those in housing need and that the accommodation offered is appropriate to their needs</w:t>
      </w:r>
    </w:p>
    <w:p w:rsidR="00A63E10" w:rsidRPr="008A4C32" w:rsidRDefault="00A63E10" w:rsidP="00A63E10">
      <w:pPr>
        <w:pStyle w:val="Default"/>
        <w:numPr>
          <w:ilvl w:val="0"/>
          <w:numId w:val="2"/>
        </w:numPr>
        <w:rPr>
          <w:color w:val="auto"/>
        </w:rPr>
      </w:pPr>
      <w:r>
        <w:rPr>
          <w:color w:val="auto"/>
        </w:rPr>
        <w:t>Tenants</w:t>
      </w:r>
      <w:r w:rsidRPr="008A4C32">
        <w:rPr>
          <w:color w:val="auto"/>
        </w:rPr>
        <w:t xml:space="preserve"> are treated fairly and in accordance with the Equality, Diversity &amp; Customer Care Policy. </w:t>
      </w:r>
    </w:p>
    <w:p w:rsidR="00E35824" w:rsidRDefault="00A63E10" w:rsidP="00E35824">
      <w:pPr>
        <w:pStyle w:val="Default"/>
        <w:numPr>
          <w:ilvl w:val="0"/>
          <w:numId w:val="2"/>
        </w:numPr>
        <w:rPr>
          <w:color w:val="auto"/>
        </w:rPr>
      </w:pPr>
      <w:r>
        <w:rPr>
          <w:color w:val="auto"/>
        </w:rPr>
        <w:t>T</w:t>
      </w:r>
      <w:r w:rsidR="00E35824" w:rsidRPr="008A4C32">
        <w:rPr>
          <w:color w:val="auto"/>
        </w:rPr>
        <w:t xml:space="preserve">enants are fully aware of </w:t>
      </w:r>
      <w:r w:rsidR="00E35824">
        <w:rPr>
          <w:color w:val="auto"/>
        </w:rPr>
        <w:t>the rent increase mechanisms that will operate during the course of their tenancy.</w:t>
      </w:r>
    </w:p>
    <w:p w:rsidR="000434C1" w:rsidRDefault="000434C1" w:rsidP="00E35824">
      <w:pPr>
        <w:pStyle w:val="Default"/>
        <w:numPr>
          <w:ilvl w:val="0"/>
          <w:numId w:val="2"/>
        </w:numPr>
        <w:rPr>
          <w:color w:val="auto"/>
        </w:rPr>
      </w:pPr>
      <w:r>
        <w:rPr>
          <w:color w:val="auto"/>
        </w:rPr>
        <w:lastRenderedPageBreak/>
        <w:t xml:space="preserve">Tenants are fully aware what their rent and service charges </w:t>
      </w:r>
      <w:r w:rsidR="00CD40CD">
        <w:rPr>
          <w:color w:val="auto"/>
        </w:rPr>
        <w:t xml:space="preserve">will be </w:t>
      </w:r>
      <w:r>
        <w:rPr>
          <w:color w:val="auto"/>
        </w:rPr>
        <w:t>spent</w:t>
      </w:r>
      <w:r w:rsidR="00CD40CD">
        <w:rPr>
          <w:color w:val="auto"/>
        </w:rPr>
        <w:t xml:space="preserve"> on</w:t>
      </w:r>
    </w:p>
    <w:p w:rsidR="00CD40CD" w:rsidRDefault="00061A9D" w:rsidP="00CD40CD">
      <w:pPr>
        <w:pStyle w:val="Default"/>
        <w:numPr>
          <w:ilvl w:val="0"/>
          <w:numId w:val="2"/>
        </w:numPr>
        <w:rPr>
          <w:color w:val="auto"/>
        </w:rPr>
      </w:pPr>
      <w:r>
        <w:rPr>
          <w:color w:val="auto"/>
        </w:rPr>
        <w:t>R</w:t>
      </w:r>
      <w:r w:rsidR="00CD40CD" w:rsidRPr="00B0743A">
        <w:rPr>
          <w:color w:val="auto"/>
        </w:rPr>
        <w:t xml:space="preserve">ents are broadly consistent with comparable rents charged by similar </w:t>
      </w:r>
      <w:r w:rsidR="00CD40CD">
        <w:rPr>
          <w:color w:val="auto"/>
        </w:rPr>
        <w:t xml:space="preserve">local </w:t>
      </w:r>
      <w:r w:rsidR="00CD40CD" w:rsidRPr="00B0743A">
        <w:rPr>
          <w:color w:val="auto"/>
        </w:rPr>
        <w:t>social landlor</w:t>
      </w:r>
      <w:r w:rsidR="00CD40CD">
        <w:rPr>
          <w:color w:val="auto"/>
        </w:rPr>
        <w:t>ds in similar circumstances</w:t>
      </w:r>
    </w:p>
    <w:p w:rsidR="00FD7490" w:rsidRPr="00FD7490" w:rsidRDefault="00061A9D" w:rsidP="00FD7490">
      <w:pPr>
        <w:pStyle w:val="Default"/>
        <w:numPr>
          <w:ilvl w:val="0"/>
          <w:numId w:val="2"/>
        </w:numPr>
        <w:rPr>
          <w:rFonts w:eastAsiaTheme="majorEastAsia"/>
          <w:b/>
          <w:bCs/>
          <w:lang w:eastAsia="en-GB"/>
        </w:rPr>
      </w:pPr>
      <w:r>
        <w:rPr>
          <w:color w:val="auto"/>
        </w:rPr>
        <w:t>S</w:t>
      </w:r>
      <w:r w:rsidR="00E35824" w:rsidRPr="00B0743A">
        <w:rPr>
          <w:color w:val="auto"/>
        </w:rPr>
        <w:t>ufficient income is generated to meet all financial requirements including the costs of managing and maintaining the home</w:t>
      </w:r>
      <w:r w:rsidR="00E35824">
        <w:rPr>
          <w:color w:val="auto"/>
        </w:rPr>
        <w:t>s and any associated borrowings</w:t>
      </w:r>
      <w:r w:rsidR="00FD7490">
        <w:rPr>
          <w:color w:val="auto"/>
        </w:rPr>
        <w:br w:type="page"/>
      </w:r>
    </w:p>
    <w:p w:rsidR="00456BEE" w:rsidRDefault="00456BEE" w:rsidP="00D4621C">
      <w:pPr>
        <w:pStyle w:val="Heading2"/>
        <w:numPr>
          <w:ilvl w:val="0"/>
          <w:numId w:val="0"/>
        </w:numPr>
        <w:rPr>
          <w:rFonts w:ascii="Arial" w:hAnsi="Arial" w:cs="Arial"/>
          <w:color w:val="auto"/>
          <w:sz w:val="24"/>
          <w:szCs w:val="24"/>
        </w:rPr>
      </w:pPr>
      <w:r>
        <w:rPr>
          <w:rFonts w:ascii="Arial" w:hAnsi="Arial" w:cs="Arial"/>
          <w:color w:val="auto"/>
          <w:sz w:val="24"/>
          <w:szCs w:val="24"/>
        </w:rPr>
        <w:lastRenderedPageBreak/>
        <w:t>Specific Policy Decision</w:t>
      </w:r>
      <w:r w:rsidR="00D336A0">
        <w:rPr>
          <w:rFonts w:ascii="Arial" w:hAnsi="Arial" w:cs="Arial"/>
          <w:color w:val="auto"/>
          <w:sz w:val="24"/>
          <w:szCs w:val="24"/>
        </w:rPr>
        <w:t>s</w:t>
      </w:r>
    </w:p>
    <w:p w:rsidR="00CD40CD" w:rsidRPr="00CD40CD" w:rsidRDefault="00CD40CD" w:rsidP="00CD40CD">
      <w:pPr>
        <w:rPr>
          <w:lang w:eastAsia="en-GB"/>
        </w:rPr>
      </w:pPr>
    </w:p>
    <w:p w:rsidR="00CD40CD" w:rsidRPr="00CD40CD" w:rsidRDefault="00CD40CD" w:rsidP="00CD40CD">
      <w:pPr>
        <w:pStyle w:val="Default"/>
        <w:rPr>
          <w:b/>
          <w:color w:val="auto"/>
        </w:rPr>
      </w:pPr>
      <w:r w:rsidRPr="00CD40CD">
        <w:rPr>
          <w:b/>
          <w:color w:val="auto"/>
        </w:rPr>
        <w:t>Rent</w:t>
      </w:r>
      <w:r>
        <w:rPr>
          <w:b/>
          <w:color w:val="auto"/>
        </w:rPr>
        <w:t xml:space="preserve"> &amp; Rent Review</w:t>
      </w:r>
    </w:p>
    <w:p w:rsidR="00CD40CD" w:rsidRDefault="00CD40CD" w:rsidP="00CD40CD">
      <w:pPr>
        <w:pStyle w:val="Default"/>
        <w:rPr>
          <w:color w:val="auto"/>
        </w:rPr>
      </w:pPr>
    </w:p>
    <w:p w:rsidR="00CD40CD" w:rsidRDefault="00CD40CD" w:rsidP="00CD40CD">
      <w:pPr>
        <w:pStyle w:val="Default"/>
        <w:rPr>
          <w:color w:val="auto"/>
        </w:rPr>
      </w:pPr>
      <w:r>
        <w:rPr>
          <w:color w:val="auto"/>
        </w:rPr>
        <w:t>Rental periods will be monthly and the rent becomes due on the 1</w:t>
      </w:r>
      <w:r w:rsidRPr="00456BEE">
        <w:rPr>
          <w:color w:val="auto"/>
          <w:vertAlign w:val="superscript"/>
        </w:rPr>
        <w:t>st</w:t>
      </w:r>
      <w:r>
        <w:rPr>
          <w:color w:val="auto"/>
        </w:rPr>
        <w:t xml:space="preserve"> day of each month. For new lettings, an apportionment of the months’ rent becomes due on the tenancy commencement. </w:t>
      </w:r>
    </w:p>
    <w:p w:rsidR="00C00934" w:rsidRPr="00A2107E" w:rsidRDefault="00C00934" w:rsidP="00C00934">
      <w:pPr>
        <w:pStyle w:val="Heading2"/>
        <w:numPr>
          <w:ilvl w:val="0"/>
          <w:numId w:val="0"/>
        </w:numPr>
        <w:rPr>
          <w:rFonts w:ascii="Arial" w:hAnsi="Arial" w:cs="Arial"/>
          <w:b w:val="0"/>
          <w:color w:val="auto"/>
          <w:sz w:val="24"/>
          <w:szCs w:val="24"/>
        </w:rPr>
      </w:pPr>
      <w:r>
        <w:rPr>
          <w:rFonts w:ascii="Arial" w:hAnsi="Arial" w:cs="Arial"/>
          <w:b w:val="0"/>
          <w:color w:val="auto"/>
          <w:sz w:val="24"/>
          <w:szCs w:val="24"/>
        </w:rPr>
        <w:t>The rent</w:t>
      </w:r>
      <w:r w:rsidRPr="00A2107E">
        <w:rPr>
          <w:rFonts w:ascii="Arial" w:hAnsi="Arial" w:cs="Arial"/>
          <w:b w:val="0"/>
          <w:color w:val="auto"/>
          <w:sz w:val="24"/>
          <w:szCs w:val="24"/>
        </w:rPr>
        <w:t xml:space="preserve"> “review date” means the </w:t>
      </w:r>
      <w:r>
        <w:rPr>
          <w:rFonts w:ascii="Arial" w:hAnsi="Arial" w:cs="Arial"/>
          <w:b w:val="0"/>
          <w:color w:val="auto"/>
          <w:sz w:val="24"/>
          <w:szCs w:val="24"/>
        </w:rPr>
        <w:t xml:space="preserve">first day of the month immediately following the </w:t>
      </w:r>
      <w:r w:rsidRPr="00A2107E">
        <w:rPr>
          <w:rFonts w:ascii="Arial" w:hAnsi="Arial" w:cs="Arial"/>
          <w:b w:val="0"/>
          <w:color w:val="auto"/>
          <w:sz w:val="24"/>
          <w:szCs w:val="24"/>
        </w:rPr>
        <w:t>first anniversary of the start of the Tenancy and each anniversary of that date.</w:t>
      </w:r>
      <w:r>
        <w:rPr>
          <w:rFonts w:ascii="Arial" w:hAnsi="Arial" w:cs="Arial"/>
          <w:b w:val="0"/>
          <w:color w:val="auto"/>
          <w:sz w:val="24"/>
          <w:szCs w:val="24"/>
        </w:rPr>
        <w:t xml:space="preserve"> For example, if the tenancy started on 10</w:t>
      </w:r>
      <w:r w:rsidRPr="006D08F3">
        <w:rPr>
          <w:rFonts w:ascii="Arial" w:hAnsi="Arial" w:cs="Arial"/>
          <w:b w:val="0"/>
          <w:color w:val="auto"/>
          <w:sz w:val="24"/>
          <w:szCs w:val="24"/>
          <w:vertAlign w:val="superscript"/>
        </w:rPr>
        <w:t>th</w:t>
      </w:r>
      <w:r>
        <w:rPr>
          <w:rFonts w:ascii="Arial" w:hAnsi="Arial" w:cs="Arial"/>
          <w:b w:val="0"/>
          <w:color w:val="auto"/>
          <w:sz w:val="24"/>
          <w:szCs w:val="24"/>
        </w:rPr>
        <w:t xml:space="preserve"> September 2017, the anniversary would be 10</w:t>
      </w:r>
      <w:r w:rsidRPr="006D08F3">
        <w:rPr>
          <w:rFonts w:ascii="Arial" w:hAnsi="Arial" w:cs="Arial"/>
          <w:b w:val="0"/>
          <w:color w:val="auto"/>
          <w:sz w:val="24"/>
          <w:szCs w:val="24"/>
          <w:vertAlign w:val="superscript"/>
        </w:rPr>
        <w:t>th</w:t>
      </w:r>
      <w:r>
        <w:rPr>
          <w:rFonts w:ascii="Arial" w:hAnsi="Arial" w:cs="Arial"/>
          <w:b w:val="0"/>
          <w:color w:val="auto"/>
          <w:sz w:val="24"/>
          <w:szCs w:val="24"/>
        </w:rPr>
        <w:t xml:space="preserve"> September 2018 and the first review date would be 1</w:t>
      </w:r>
      <w:r w:rsidRPr="006D08F3">
        <w:rPr>
          <w:rFonts w:ascii="Arial" w:hAnsi="Arial" w:cs="Arial"/>
          <w:b w:val="0"/>
          <w:color w:val="auto"/>
          <w:sz w:val="24"/>
          <w:szCs w:val="24"/>
          <w:vertAlign w:val="superscript"/>
        </w:rPr>
        <w:t>st</w:t>
      </w:r>
      <w:r>
        <w:rPr>
          <w:rFonts w:ascii="Arial" w:hAnsi="Arial" w:cs="Arial"/>
          <w:b w:val="0"/>
          <w:color w:val="auto"/>
          <w:sz w:val="24"/>
          <w:szCs w:val="24"/>
        </w:rPr>
        <w:t xml:space="preserve"> October 2018 and 1</w:t>
      </w:r>
      <w:r w:rsidRPr="006D08F3">
        <w:rPr>
          <w:rFonts w:ascii="Arial" w:hAnsi="Arial" w:cs="Arial"/>
          <w:b w:val="0"/>
          <w:color w:val="auto"/>
          <w:sz w:val="24"/>
          <w:szCs w:val="24"/>
          <w:vertAlign w:val="superscript"/>
        </w:rPr>
        <w:t>st</w:t>
      </w:r>
      <w:r>
        <w:rPr>
          <w:rFonts w:ascii="Arial" w:hAnsi="Arial" w:cs="Arial"/>
          <w:b w:val="0"/>
          <w:color w:val="auto"/>
          <w:sz w:val="24"/>
          <w:szCs w:val="24"/>
        </w:rPr>
        <w:t xml:space="preserve"> October in subsequent years.</w:t>
      </w:r>
    </w:p>
    <w:p w:rsidR="00C00934" w:rsidRPr="00D4621C" w:rsidRDefault="00C00934" w:rsidP="00C00934">
      <w:pPr>
        <w:pStyle w:val="Heading2"/>
        <w:numPr>
          <w:ilvl w:val="0"/>
          <w:numId w:val="0"/>
        </w:numPr>
        <w:rPr>
          <w:rFonts w:ascii="Arial" w:hAnsi="Arial" w:cs="Arial"/>
          <w:b w:val="0"/>
          <w:color w:val="auto"/>
          <w:sz w:val="24"/>
          <w:szCs w:val="24"/>
        </w:rPr>
      </w:pPr>
      <w:r>
        <w:rPr>
          <w:rFonts w:ascii="Arial" w:hAnsi="Arial" w:cs="Arial"/>
          <w:b w:val="0"/>
          <w:color w:val="auto"/>
          <w:sz w:val="24"/>
          <w:szCs w:val="24"/>
        </w:rPr>
        <w:t xml:space="preserve">In order to increase the rent, OCHL must </w:t>
      </w:r>
      <w:r w:rsidRPr="00A2107E">
        <w:rPr>
          <w:rFonts w:ascii="Arial" w:hAnsi="Arial" w:cs="Arial"/>
          <w:b w:val="0"/>
          <w:color w:val="auto"/>
          <w:sz w:val="24"/>
          <w:szCs w:val="24"/>
        </w:rPr>
        <w:t xml:space="preserve">serve a rent review notice on the </w:t>
      </w:r>
      <w:r>
        <w:rPr>
          <w:rFonts w:ascii="Arial" w:hAnsi="Arial" w:cs="Arial"/>
          <w:b w:val="0"/>
          <w:color w:val="auto"/>
          <w:sz w:val="24"/>
          <w:szCs w:val="24"/>
        </w:rPr>
        <w:t>t</w:t>
      </w:r>
      <w:r w:rsidRPr="00A2107E">
        <w:rPr>
          <w:rFonts w:ascii="Arial" w:hAnsi="Arial" w:cs="Arial"/>
          <w:b w:val="0"/>
          <w:color w:val="auto"/>
          <w:sz w:val="24"/>
          <w:szCs w:val="24"/>
        </w:rPr>
        <w:t xml:space="preserve">enant not less than 28 days but not more than 90 days before the </w:t>
      </w:r>
      <w:r>
        <w:rPr>
          <w:rFonts w:ascii="Arial" w:hAnsi="Arial" w:cs="Arial"/>
          <w:b w:val="0"/>
          <w:color w:val="auto"/>
          <w:sz w:val="24"/>
          <w:szCs w:val="24"/>
        </w:rPr>
        <w:t xml:space="preserve">relevant review date specifying </w:t>
      </w:r>
      <w:r w:rsidRPr="00D4621C">
        <w:rPr>
          <w:rFonts w:ascii="Arial" w:hAnsi="Arial" w:cs="Arial"/>
          <w:b w:val="0"/>
          <w:color w:val="auto"/>
          <w:sz w:val="24"/>
          <w:szCs w:val="24"/>
        </w:rPr>
        <w:t>the percentage by which the rent will increase on the relevant review date and the new rent payable from the relevant review date.</w:t>
      </w:r>
    </w:p>
    <w:p w:rsidR="00C00934" w:rsidRDefault="00C00934" w:rsidP="00C00934">
      <w:pPr>
        <w:pStyle w:val="Heading2"/>
        <w:numPr>
          <w:ilvl w:val="0"/>
          <w:numId w:val="0"/>
        </w:numPr>
        <w:rPr>
          <w:rFonts w:ascii="Arial" w:hAnsi="Arial" w:cs="Arial"/>
          <w:b w:val="0"/>
          <w:color w:val="auto"/>
          <w:sz w:val="24"/>
          <w:szCs w:val="24"/>
        </w:rPr>
      </w:pPr>
      <w:r>
        <w:rPr>
          <w:rFonts w:ascii="Arial" w:hAnsi="Arial" w:cs="Arial"/>
          <w:b w:val="0"/>
          <w:color w:val="auto"/>
          <w:sz w:val="24"/>
          <w:szCs w:val="24"/>
        </w:rPr>
        <w:t xml:space="preserve">OCHL will </w:t>
      </w:r>
      <w:r w:rsidRPr="00A2107E">
        <w:rPr>
          <w:rFonts w:ascii="Arial" w:hAnsi="Arial" w:cs="Arial"/>
          <w:b w:val="0"/>
          <w:color w:val="auto"/>
          <w:sz w:val="24"/>
          <w:szCs w:val="24"/>
        </w:rPr>
        <w:t>increase the rent on each review date by a maximum of the percentage change in the Consumer Prices Index over the preceding year</w:t>
      </w:r>
      <w:r>
        <w:rPr>
          <w:rFonts w:ascii="Arial" w:hAnsi="Arial" w:cs="Arial"/>
          <w:b w:val="0"/>
          <w:color w:val="auto"/>
          <w:sz w:val="24"/>
          <w:szCs w:val="24"/>
        </w:rPr>
        <w:t xml:space="preserve"> plus no more than 6%</w:t>
      </w:r>
      <w:r w:rsidRPr="00A2107E">
        <w:rPr>
          <w:rFonts w:ascii="Arial" w:hAnsi="Arial" w:cs="Arial"/>
          <w:b w:val="0"/>
          <w:color w:val="auto"/>
          <w:sz w:val="24"/>
          <w:szCs w:val="24"/>
        </w:rPr>
        <w:t xml:space="preserve">. </w:t>
      </w:r>
    </w:p>
    <w:p w:rsidR="00C00934" w:rsidRPr="00A2107E" w:rsidRDefault="00C00934" w:rsidP="00C00934">
      <w:pPr>
        <w:pStyle w:val="Heading2"/>
        <w:numPr>
          <w:ilvl w:val="0"/>
          <w:numId w:val="0"/>
        </w:numPr>
        <w:rPr>
          <w:rFonts w:ascii="Arial" w:hAnsi="Arial" w:cs="Arial"/>
          <w:b w:val="0"/>
          <w:color w:val="auto"/>
          <w:sz w:val="24"/>
          <w:szCs w:val="24"/>
        </w:rPr>
      </w:pPr>
      <w:r w:rsidRPr="00A2107E">
        <w:rPr>
          <w:rFonts w:ascii="Arial" w:hAnsi="Arial" w:cs="Arial"/>
          <w:b w:val="0"/>
          <w:color w:val="auto"/>
          <w:sz w:val="24"/>
          <w:szCs w:val="24"/>
        </w:rPr>
        <w:t xml:space="preserve">This must be calculated by reference to the last index published before the date on </w:t>
      </w:r>
      <w:r>
        <w:rPr>
          <w:rFonts w:ascii="Arial" w:hAnsi="Arial" w:cs="Arial"/>
          <w:b w:val="0"/>
          <w:color w:val="auto"/>
          <w:sz w:val="24"/>
          <w:szCs w:val="24"/>
        </w:rPr>
        <w:t xml:space="preserve">which the </w:t>
      </w:r>
      <w:proofErr w:type="gramStart"/>
      <w:r>
        <w:rPr>
          <w:rFonts w:ascii="Arial" w:hAnsi="Arial" w:cs="Arial"/>
          <w:b w:val="0"/>
          <w:color w:val="auto"/>
          <w:sz w:val="24"/>
          <w:szCs w:val="24"/>
        </w:rPr>
        <w:t>rent increase</w:t>
      </w:r>
      <w:proofErr w:type="gramEnd"/>
      <w:r>
        <w:rPr>
          <w:rFonts w:ascii="Arial" w:hAnsi="Arial" w:cs="Arial"/>
          <w:b w:val="0"/>
          <w:color w:val="auto"/>
          <w:sz w:val="24"/>
          <w:szCs w:val="24"/>
        </w:rPr>
        <w:t xml:space="preserve"> notice is served</w:t>
      </w:r>
      <w:r w:rsidRPr="00A2107E">
        <w:rPr>
          <w:rFonts w:ascii="Arial" w:hAnsi="Arial" w:cs="Arial"/>
          <w:b w:val="0"/>
          <w:color w:val="auto"/>
          <w:sz w:val="24"/>
          <w:szCs w:val="24"/>
        </w:rPr>
        <w:t xml:space="preserve"> and the </w:t>
      </w:r>
      <w:r>
        <w:rPr>
          <w:rFonts w:ascii="Arial" w:hAnsi="Arial" w:cs="Arial"/>
          <w:b w:val="0"/>
          <w:color w:val="auto"/>
          <w:sz w:val="24"/>
          <w:szCs w:val="24"/>
        </w:rPr>
        <w:t>11 previous indices.</w:t>
      </w:r>
      <w:r w:rsidRPr="00A2107E">
        <w:rPr>
          <w:rFonts w:ascii="Arial" w:hAnsi="Arial" w:cs="Arial"/>
          <w:b w:val="0"/>
          <w:color w:val="auto"/>
          <w:sz w:val="24"/>
          <w:szCs w:val="24"/>
        </w:rPr>
        <w:t xml:space="preserve"> </w:t>
      </w:r>
    </w:p>
    <w:p w:rsidR="00456BEE" w:rsidRDefault="00456BEE" w:rsidP="00F76788">
      <w:pPr>
        <w:pStyle w:val="Default"/>
        <w:rPr>
          <w:color w:val="auto"/>
        </w:rPr>
      </w:pPr>
    </w:p>
    <w:p w:rsidR="00FD7490" w:rsidRDefault="00FD7490">
      <w:pPr>
        <w:rPr>
          <w:b/>
        </w:rPr>
      </w:pPr>
      <w:r>
        <w:rPr>
          <w:b/>
        </w:rPr>
        <w:br w:type="page"/>
      </w:r>
    </w:p>
    <w:p w:rsidR="00CD40CD" w:rsidRDefault="00CD40CD">
      <w:pPr>
        <w:rPr>
          <w:b/>
        </w:rPr>
      </w:pPr>
      <w:r>
        <w:rPr>
          <w:b/>
        </w:rPr>
        <w:lastRenderedPageBreak/>
        <w:t>Service Charges</w:t>
      </w:r>
    </w:p>
    <w:p w:rsidR="00CD40CD" w:rsidRDefault="00CD40CD">
      <w:pPr>
        <w:rPr>
          <w:b/>
        </w:rPr>
      </w:pPr>
    </w:p>
    <w:p w:rsidR="00CD40CD" w:rsidRDefault="00CD40CD" w:rsidP="00CD40CD">
      <w:pPr>
        <w:rPr>
          <w:color w:val="000000"/>
        </w:rPr>
      </w:pPr>
      <w:r>
        <w:rPr>
          <w:color w:val="000000"/>
        </w:rPr>
        <w:t>OCHL will operate a Variable Service Charge regime.</w:t>
      </w:r>
    </w:p>
    <w:p w:rsidR="00CD40CD" w:rsidRDefault="00CD40CD" w:rsidP="00CD40CD">
      <w:pPr>
        <w:rPr>
          <w:color w:val="000000"/>
        </w:rPr>
      </w:pPr>
    </w:p>
    <w:p w:rsidR="00CD40CD" w:rsidRDefault="00CD40CD" w:rsidP="00CD40CD">
      <w:pPr>
        <w:rPr>
          <w:color w:val="000000"/>
        </w:rPr>
      </w:pPr>
      <w:r>
        <w:rPr>
          <w:color w:val="000000"/>
        </w:rPr>
        <w:t xml:space="preserve">Service charges will be payable on a monthly basis on the same day as the rent is due. Any reference to rent, rent due or the payment of rent will mean rent and any service charges applicable, as a single entity. </w:t>
      </w:r>
    </w:p>
    <w:p w:rsidR="00CD40CD" w:rsidRDefault="00CD40CD" w:rsidP="00CD40CD">
      <w:pPr>
        <w:rPr>
          <w:color w:val="000000"/>
        </w:rPr>
      </w:pPr>
    </w:p>
    <w:p w:rsidR="00CD40CD" w:rsidRDefault="00CD40CD" w:rsidP="00CD40CD">
      <w:pPr>
        <w:rPr>
          <w:color w:val="000000"/>
        </w:rPr>
      </w:pPr>
      <w:r>
        <w:rPr>
          <w:color w:val="000000"/>
        </w:rPr>
        <w:t>Service charges for the first year of occupation of a property will be estimated and charged on a monthly basis with the rent. Where there is a difference between the estimate for year one and the actual for year one, this will be factored into the year two charges.</w:t>
      </w:r>
    </w:p>
    <w:p w:rsidR="00CD40CD" w:rsidRDefault="00CD40CD" w:rsidP="00CD40CD">
      <w:pPr>
        <w:rPr>
          <w:color w:val="000000"/>
        </w:rPr>
      </w:pPr>
    </w:p>
    <w:p w:rsidR="00CD40CD" w:rsidRDefault="00CD40CD" w:rsidP="00CD40CD">
      <w:pPr>
        <w:rPr>
          <w:color w:val="000000"/>
        </w:rPr>
      </w:pPr>
      <w:r>
        <w:rPr>
          <w:color w:val="000000"/>
        </w:rPr>
        <w:t>Service charges for the second and subsequent years will be based on the actual charges for the previous year.</w:t>
      </w:r>
    </w:p>
    <w:p w:rsidR="00CD40CD" w:rsidRDefault="00CD40CD" w:rsidP="00CD40CD">
      <w:pPr>
        <w:tabs>
          <w:tab w:val="left" w:pos="5550"/>
        </w:tabs>
        <w:rPr>
          <w:color w:val="000000"/>
        </w:rPr>
      </w:pPr>
      <w:r>
        <w:rPr>
          <w:color w:val="000000"/>
        </w:rPr>
        <w:tab/>
      </w:r>
    </w:p>
    <w:p w:rsidR="00CD40CD" w:rsidRDefault="00CD40CD" w:rsidP="00CD40CD">
      <w:r>
        <w:t>Service charges will apply if the property benefits from the service and is not dependant on the residents making use of the service.</w:t>
      </w:r>
    </w:p>
    <w:p w:rsidR="00CD40CD" w:rsidRDefault="00CD40CD" w:rsidP="00CD40CD"/>
    <w:p w:rsidR="00CD40CD" w:rsidRDefault="00CD40CD" w:rsidP="00CD40CD">
      <w:r>
        <w:t xml:space="preserve">Service charges will be apportioned equally between the </w:t>
      </w:r>
      <w:proofErr w:type="gramStart"/>
      <w:r>
        <w:t>number</w:t>
      </w:r>
      <w:proofErr w:type="gramEnd"/>
      <w:r>
        <w:t xml:space="preserve"> of properties of a block, regardless of size so if there are 10 properties in a block, each tenant will be charged 10 per cent of the total charges for the block. </w:t>
      </w:r>
    </w:p>
    <w:p w:rsidR="00CD40CD" w:rsidRDefault="00CD40CD" w:rsidP="00CD40CD"/>
    <w:p w:rsidR="00CD40CD" w:rsidRDefault="00CD40CD" w:rsidP="00CD40CD">
      <w:r>
        <w:t xml:space="preserve">OCHL will consult with residents before introducing a new service which will result in a charge. We will take the views of residents into </w:t>
      </w:r>
      <w:proofErr w:type="gramStart"/>
      <w:r>
        <w:t>account</w:t>
      </w:r>
      <w:r w:rsidR="00061A9D">
        <w:t>,</w:t>
      </w:r>
      <w:proofErr w:type="gramEnd"/>
      <w:r>
        <w:t xml:space="preserve"> however</w:t>
      </w:r>
      <w:r w:rsidR="00061A9D">
        <w:t>,</w:t>
      </w:r>
      <w:r>
        <w:t xml:space="preserve"> some services may be required to comply with legislation, regulation or health and safety requirements. The consensus of all residents to introduce new services is not required. </w:t>
      </w:r>
    </w:p>
    <w:p w:rsidR="00AF56F7" w:rsidRDefault="00AF56F7">
      <w:pPr>
        <w:rPr>
          <w:b/>
        </w:rPr>
      </w:pPr>
    </w:p>
    <w:p w:rsidR="00FD7490" w:rsidRDefault="00FD7490">
      <w:pPr>
        <w:rPr>
          <w:b/>
        </w:rPr>
      </w:pPr>
      <w:r>
        <w:rPr>
          <w:b/>
        </w:rPr>
        <w:br w:type="page"/>
      </w:r>
    </w:p>
    <w:p w:rsidR="00F47CA9" w:rsidRDefault="00F47CA9">
      <w:pPr>
        <w:rPr>
          <w:b/>
        </w:rPr>
      </w:pPr>
      <w:r>
        <w:rPr>
          <w:b/>
        </w:rPr>
        <w:lastRenderedPageBreak/>
        <w:t xml:space="preserve">Allocation of Assured </w:t>
      </w:r>
      <w:r w:rsidR="001C2684">
        <w:rPr>
          <w:b/>
        </w:rPr>
        <w:t>(Non-</w:t>
      </w:r>
      <w:r>
        <w:rPr>
          <w:b/>
        </w:rPr>
        <w:t>Shorthold</w:t>
      </w:r>
      <w:r w:rsidR="001C2684">
        <w:rPr>
          <w:b/>
        </w:rPr>
        <w:t>)</w:t>
      </w:r>
      <w:r>
        <w:rPr>
          <w:b/>
        </w:rPr>
        <w:t xml:space="preserve"> </w:t>
      </w:r>
      <w:r w:rsidR="00A75E15">
        <w:rPr>
          <w:b/>
        </w:rPr>
        <w:t xml:space="preserve">and Assured Shorthold </w:t>
      </w:r>
      <w:r>
        <w:rPr>
          <w:b/>
        </w:rPr>
        <w:t>Tenancies</w:t>
      </w:r>
    </w:p>
    <w:p w:rsidR="00F47CA9" w:rsidRDefault="00F47CA9">
      <w:pPr>
        <w:rPr>
          <w:b/>
        </w:rPr>
      </w:pPr>
    </w:p>
    <w:p w:rsidR="00F47CA9" w:rsidRDefault="00F47CA9" w:rsidP="00F47CA9">
      <w:pPr>
        <w:pStyle w:val="Default"/>
        <w:rPr>
          <w:color w:val="auto"/>
        </w:rPr>
      </w:pPr>
      <w:r>
        <w:rPr>
          <w:color w:val="auto"/>
        </w:rPr>
        <w:t xml:space="preserve">Properties will be allocated in accordance with </w:t>
      </w:r>
      <w:r w:rsidR="007717AD">
        <w:rPr>
          <w:color w:val="auto"/>
        </w:rPr>
        <w:t xml:space="preserve">the Oxford City Council Allocations Scheme and the </w:t>
      </w:r>
      <w:r w:rsidR="00061A9D" w:rsidRPr="00061A9D">
        <w:rPr>
          <w:color w:val="auto"/>
        </w:rPr>
        <w:t xml:space="preserve">Oxford Register for Affordable Housing </w:t>
      </w:r>
      <w:r w:rsidR="00061A9D">
        <w:rPr>
          <w:color w:val="auto"/>
        </w:rPr>
        <w:t xml:space="preserve">(ORAH) </w:t>
      </w:r>
      <w:r w:rsidR="00061A9D" w:rsidRPr="00061A9D">
        <w:rPr>
          <w:color w:val="auto"/>
        </w:rPr>
        <w:t xml:space="preserve">Partnership </w:t>
      </w:r>
      <w:r w:rsidR="00061A9D">
        <w:rPr>
          <w:color w:val="auto"/>
        </w:rPr>
        <w:t xml:space="preserve">Agreement. Oxford City Council’s </w:t>
      </w:r>
      <w:r>
        <w:rPr>
          <w:color w:val="auto"/>
        </w:rPr>
        <w:t xml:space="preserve">Allocation Scheme sets out the criteria for the assessment of housing need and priority for housing. </w:t>
      </w:r>
    </w:p>
    <w:p w:rsidR="007717AD" w:rsidRDefault="007717AD" w:rsidP="00F47CA9">
      <w:pPr>
        <w:pStyle w:val="Default"/>
        <w:rPr>
          <w:color w:val="auto"/>
        </w:rPr>
      </w:pPr>
    </w:p>
    <w:p w:rsidR="006E716D" w:rsidRDefault="00E27571" w:rsidP="006E716D">
      <w:pPr>
        <w:pStyle w:val="Default"/>
        <w:rPr>
          <w:color w:val="auto"/>
        </w:rPr>
      </w:pPr>
      <w:r>
        <w:rPr>
          <w:color w:val="auto"/>
        </w:rPr>
        <w:t>The priority for housing will</w:t>
      </w:r>
      <w:r w:rsidR="006E716D">
        <w:rPr>
          <w:color w:val="auto"/>
        </w:rPr>
        <w:t xml:space="preserve"> be determined </w:t>
      </w:r>
      <w:r>
        <w:rPr>
          <w:color w:val="auto"/>
        </w:rPr>
        <w:t xml:space="preserve">by </w:t>
      </w:r>
      <w:r w:rsidR="006E716D">
        <w:rPr>
          <w:color w:val="auto"/>
        </w:rPr>
        <w:t xml:space="preserve">Oxford City Council taking into account a number of factors, including </w:t>
      </w:r>
    </w:p>
    <w:p w:rsidR="006E716D" w:rsidRDefault="006E716D" w:rsidP="006E716D">
      <w:pPr>
        <w:pStyle w:val="Default"/>
      </w:pPr>
    </w:p>
    <w:p w:rsidR="006E716D" w:rsidRDefault="006E716D" w:rsidP="00FD7490">
      <w:pPr>
        <w:pStyle w:val="ListParagraph"/>
        <w:numPr>
          <w:ilvl w:val="0"/>
          <w:numId w:val="20"/>
        </w:numPr>
      </w:pPr>
      <w:r>
        <w:t>O</w:t>
      </w:r>
      <w:r w:rsidR="007717AD">
        <w:t>vercrowding</w:t>
      </w:r>
    </w:p>
    <w:p w:rsidR="006E716D" w:rsidRDefault="00FD7490" w:rsidP="00FD7490">
      <w:pPr>
        <w:pStyle w:val="ListParagraph"/>
        <w:numPr>
          <w:ilvl w:val="0"/>
          <w:numId w:val="20"/>
        </w:numPr>
      </w:pPr>
      <w:r>
        <w:t>H</w:t>
      </w:r>
      <w:r w:rsidR="007717AD">
        <w:t>omeless/threatened with homelessness</w:t>
      </w:r>
    </w:p>
    <w:p w:rsidR="006E716D" w:rsidRDefault="00FD7490" w:rsidP="00FD7490">
      <w:pPr>
        <w:pStyle w:val="ListParagraph"/>
        <w:numPr>
          <w:ilvl w:val="0"/>
          <w:numId w:val="20"/>
        </w:numPr>
      </w:pPr>
      <w:r>
        <w:t>H</w:t>
      </w:r>
      <w:r w:rsidR="007717AD">
        <w:t>ealth or social and welfare needs</w:t>
      </w:r>
    </w:p>
    <w:p w:rsidR="006E716D" w:rsidRDefault="00FD7490" w:rsidP="00FD7490">
      <w:pPr>
        <w:pStyle w:val="ListParagraph"/>
        <w:numPr>
          <w:ilvl w:val="0"/>
          <w:numId w:val="20"/>
        </w:numPr>
      </w:pPr>
      <w:r>
        <w:t>U</w:t>
      </w:r>
      <w:r w:rsidR="007717AD">
        <w:t>nsuitable housing</w:t>
      </w:r>
    </w:p>
    <w:p w:rsidR="00FD7490" w:rsidRDefault="00FD7490" w:rsidP="00FD7490">
      <w:pPr>
        <w:pStyle w:val="ListParagraph"/>
        <w:numPr>
          <w:ilvl w:val="0"/>
          <w:numId w:val="20"/>
        </w:numPr>
      </w:pPr>
      <w:r>
        <w:t>Under-occupation</w:t>
      </w:r>
    </w:p>
    <w:p w:rsidR="007717AD" w:rsidRPr="00FD7490" w:rsidRDefault="00FD7490" w:rsidP="00FD7490">
      <w:pPr>
        <w:pStyle w:val="ListParagraph"/>
        <w:numPr>
          <w:ilvl w:val="0"/>
          <w:numId w:val="20"/>
        </w:numPr>
      </w:pPr>
      <w:r>
        <w:t>Decant need</w:t>
      </w:r>
    </w:p>
    <w:p w:rsidR="006E716D" w:rsidRPr="00FD7490" w:rsidRDefault="006E716D" w:rsidP="00FD7490"/>
    <w:p w:rsidR="006E716D" w:rsidRPr="00FD7490" w:rsidRDefault="006E716D" w:rsidP="00FD7490">
      <w:r w:rsidRPr="00FD7490">
        <w:t>Oxford City Council w</w:t>
      </w:r>
      <w:r w:rsidR="00E27571">
        <w:t>ill</w:t>
      </w:r>
      <w:r w:rsidRPr="00FD7490">
        <w:t xml:space="preserve"> confirm the identity and status of all household members on an application, including </w:t>
      </w:r>
    </w:p>
    <w:p w:rsidR="006E716D" w:rsidRPr="00FD7490" w:rsidRDefault="006E716D" w:rsidP="00FD7490"/>
    <w:p w:rsidR="007717AD" w:rsidRPr="00FD7490" w:rsidRDefault="007717AD" w:rsidP="00FD7490">
      <w:pPr>
        <w:pStyle w:val="ListParagraph"/>
        <w:numPr>
          <w:ilvl w:val="0"/>
          <w:numId w:val="21"/>
        </w:numPr>
      </w:pPr>
      <w:r w:rsidRPr="00FD7490">
        <w:t>Eligibility (passport/ immigration status)</w:t>
      </w:r>
    </w:p>
    <w:p w:rsidR="007717AD" w:rsidRPr="00FD7490" w:rsidRDefault="007717AD" w:rsidP="00FD7490">
      <w:pPr>
        <w:pStyle w:val="ListParagraph"/>
        <w:numPr>
          <w:ilvl w:val="0"/>
          <w:numId w:val="21"/>
        </w:numPr>
      </w:pPr>
      <w:r w:rsidRPr="00FD7490">
        <w:t>Proof of Identity</w:t>
      </w:r>
    </w:p>
    <w:p w:rsidR="007717AD" w:rsidRPr="00FD7490" w:rsidRDefault="007717AD" w:rsidP="00FD7490">
      <w:pPr>
        <w:pStyle w:val="ListParagraph"/>
        <w:numPr>
          <w:ilvl w:val="0"/>
          <w:numId w:val="21"/>
        </w:numPr>
      </w:pPr>
      <w:r w:rsidRPr="00FD7490">
        <w:t>Proof of Income/Savings</w:t>
      </w:r>
    </w:p>
    <w:p w:rsidR="00FD7490" w:rsidRDefault="00FD7490" w:rsidP="00FD7490">
      <w:pPr>
        <w:spacing w:after="120"/>
      </w:pPr>
    </w:p>
    <w:p w:rsidR="00FD7490" w:rsidRPr="00FD7490" w:rsidRDefault="00FD7490" w:rsidP="00FD7490">
      <w:pPr>
        <w:spacing w:after="120"/>
      </w:pPr>
      <w:r w:rsidRPr="00FD7490">
        <w:t xml:space="preserve">Oxford City Council </w:t>
      </w:r>
      <w:r w:rsidR="00E27571">
        <w:t xml:space="preserve">will </w:t>
      </w:r>
      <w:r w:rsidRPr="00FD7490">
        <w:t xml:space="preserve">consider how suitable </w:t>
      </w:r>
      <w:r w:rsidR="00E27571">
        <w:t>an</w:t>
      </w:r>
      <w:r w:rsidRPr="00FD7490">
        <w:t xml:space="preserve"> applicant </w:t>
      </w:r>
      <w:r w:rsidR="00E27571">
        <w:t>is</w:t>
      </w:r>
      <w:r w:rsidRPr="00FD7490">
        <w:t xml:space="preserve"> for a particular property, taking account </w:t>
      </w:r>
      <w:r w:rsidR="00E27571">
        <w:t xml:space="preserve">of </w:t>
      </w:r>
      <w:r w:rsidRPr="00FD7490">
        <w:t xml:space="preserve">issues such as </w:t>
      </w:r>
    </w:p>
    <w:p w:rsidR="00E27571" w:rsidRPr="00FD7490" w:rsidRDefault="00E27571" w:rsidP="00E27571">
      <w:pPr>
        <w:pStyle w:val="ListParagraph"/>
        <w:numPr>
          <w:ilvl w:val="0"/>
          <w:numId w:val="22"/>
        </w:numPr>
      </w:pPr>
      <w:r w:rsidRPr="00FD7490">
        <w:t>Affordability</w:t>
      </w:r>
    </w:p>
    <w:p w:rsidR="007717AD" w:rsidRPr="00FD7490" w:rsidRDefault="00FD7490" w:rsidP="00FD7490">
      <w:pPr>
        <w:pStyle w:val="ListParagraph"/>
        <w:numPr>
          <w:ilvl w:val="0"/>
          <w:numId w:val="22"/>
        </w:numPr>
      </w:pPr>
      <w:r>
        <w:t>The size and type of the p</w:t>
      </w:r>
      <w:r w:rsidRPr="00FD7490">
        <w:t>roperty</w:t>
      </w:r>
    </w:p>
    <w:p w:rsidR="007717AD" w:rsidRPr="00FD7490" w:rsidRDefault="00FD7490" w:rsidP="00FD7490">
      <w:pPr>
        <w:pStyle w:val="ListParagraph"/>
        <w:numPr>
          <w:ilvl w:val="0"/>
          <w:numId w:val="22"/>
        </w:numPr>
      </w:pPr>
      <w:r>
        <w:t>Family p</w:t>
      </w:r>
      <w:r w:rsidR="007717AD" w:rsidRPr="00FD7490">
        <w:t>ets</w:t>
      </w:r>
    </w:p>
    <w:p w:rsidR="00FD7490" w:rsidRDefault="00FD7490" w:rsidP="00FD7490">
      <w:pPr>
        <w:spacing w:after="120"/>
        <w:rPr>
          <w:b/>
        </w:rPr>
      </w:pPr>
    </w:p>
    <w:p w:rsidR="00E27571" w:rsidRDefault="00FD7490" w:rsidP="00FD7490">
      <w:pPr>
        <w:spacing w:after="120"/>
      </w:pPr>
      <w:r>
        <w:t xml:space="preserve">OCHL </w:t>
      </w:r>
      <w:r w:rsidR="00E27571">
        <w:t>will</w:t>
      </w:r>
      <w:r w:rsidR="004B2D83">
        <w:t xml:space="preserve"> consider </w:t>
      </w:r>
      <w:r w:rsidR="00E27571">
        <w:t>whether an applicant is</w:t>
      </w:r>
      <w:r w:rsidR="004B2D83">
        <w:t xml:space="preserve"> suitable for an offer of accommodation. The reasons for this could include a history of unacceptable behaviour, such as</w:t>
      </w:r>
      <w:r w:rsidR="00E27571">
        <w:t>:</w:t>
      </w:r>
    </w:p>
    <w:p w:rsidR="00E27571" w:rsidRDefault="00E27571" w:rsidP="00E27571">
      <w:pPr>
        <w:pStyle w:val="ListParagraph"/>
        <w:numPr>
          <w:ilvl w:val="0"/>
          <w:numId w:val="22"/>
        </w:numPr>
      </w:pPr>
      <w:r>
        <w:t>R</w:t>
      </w:r>
      <w:r w:rsidR="004B2D83">
        <w:t>ent arrears</w:t>
      </w:r>
    </w:p>
    <w:p w:rsidR="00E27571" w:rsidRDefault="00E27571" w:rsidP="00E27571">
      <w:pPr>
        <w:pStyle w:val="ListParagraph"/>
        <w:numPr>
          <w:ilvl w:val="0"/>
          <w:numId w:val="22"/>
        </w:numPr>
      </w:pPr>
      <w:r>
        <w:t>A</w:t>
      </w:r>
      <w:r w:rsidR="004B2D83">
        <w:t>nti-social behaviour</w:t>
      </w:r>
      <w:r>
        <w:t xml:space="preserve"> or </w:t>
      </w:r>
      <w:r w:rsidR="004B2D83">
        <w:t>nuisance</w:t>
      </w:r>
    </w:p>
    <w:p w:rsidR="00E27571" w:rsidRDefault="00E27571" w:rsidP="00E27571">
      <w:pPr>
        <w:pStyle w:val="ListParagraph"/>
        <w:numPr>
          <w:ilvl w:val="0"/>
          <w:numId w:val="22"/>
        </w:numPr>
      </w:pPr>
      <w:r>
        <w:t>H</w:t>
      </w:r>
      <w:r w:rsidR="004B2D83">
        <w:t xml:space="preserve">ousing fraud. </w:t>
      </w:r>
    </w:p>
    <w:p w:rsidR="00E27571" w:rsidRDefault="00E27571" w:rsidP="00FD7490">
      <w:pPr>
        <w:spacing w:after="120"/>
      </w:pPr>
    </w:p>
    <w:p w:rsidR="00FD7490" w:rsidRDefault="004B2D83" w:rsidP="00FD7490">
      <w:pPr>
        <w:spacing w:after="120"/>
      </w:pPr>
      <w:r>
        <w:t xml:space="preserve">An applicant </w:t>
      </w:r>
      <w:r w:rsidR="00E27571">
        <w:t>will</w:t>
      </w:r>
      <w:r>
        <w:t xml:space="preserve"> also be considered unsuitable if they would not be able to afford to meet the rent payments on the property. </w:t>
      </w:r>
    </w:p>
    <w:p w:rsidR="0069279D" w:rsidRDefault="0069279D">
      <w:pPr>
        <w:rPr>
          <w:b/>
        </w:rPr>
      </w:pPr>
      <w:r>
        <w:rPr>
          <w:b/>
        </w:rPr>
        <w:br w:type="page"/>
      </w:r>
    </w:p>
    <w:p w:rsidR="0069279D" w:rsidRDefault="0069279D" w:rsidP="0069279D">
      <w:pPr>
        <w:rPr>
          <w:b/>
        </w:rPr>
      </w:pPr>
      <w:r>
        <w:rPr>
          <w:b/>
        </w:rPr>
        <w:lastRenderedPageBreak/>
        <w:t>Reviews and Appeals</w:t>
      </w:r>
    </w:p>
    <w:p w:rsidR="0069279D" w:rsidRDefault="0069279D" w:rsidP="0069279D">
      <w:pPr>
        <w:rPr>
          <w:b/>
        </w:rPr>
      </w:pPr>
    </w:p>
    <w:p w:rsidR="006F2CFD" w:rsidRDefault="0069279D" w:rsidP="0069279D">
      <w:r>
        <w:t xml:space="preserve">An </w:t>
      </w:r>
      <w:r w:rsidR="006F2CFD">
        <w:t xml:space="preserve">OCHL </w:t>
      </w:r>
      <w:r>
        <w:t>appeal panel will consider requests for a review from applicants who h</w:t>
      </w:r>
      <w:r w:rsidR="006F2CFD">
        <w:t>ave been rejected as un</w:t>
      </w:r>
      <w:r>
        <w:t xml:space="preserve">suitable for a nomination.  </w:t>
      </w:r>
    </w:p>
    <w:p w:rsidR="004714E2" w:rsidRDefault="004714E2" w:rsidP="004714E2">
      <w:pPr>
        <w:autoSpaceDE w:val="0"/>
        <w:autoSpaceDN w:val="0"/>
        <w:adjustRightInd w:val="0"/>
        <w:rPr>
          <w:color w:val="000000" w:themeColor="text1"/>
        </w:rPr>
      </w:pPr>
    </w:p>
    <w:p w:rsidR="004714E2" w:rsidRPr="00053D1C" w:rsidRDefault="004714E2" w:rsidP="004714E2">
      <w:pPr>
        <w:autoSpaceDE w:val="0"/>
        <w:autoSpaceDN w:val="0"/>
        <w:adjustRightInd w:val="0"/>
        <w:rPr>
          <w:color w:val="000000" w:themeColor="text1"/>
        </w:rPr>
      </w:pPr>
      <w:r>
        <w:rPr>
          <w:color w:val="000000" w:themeColor="text1"/>
        </w:rPr>
        <w:t>Nine months in</w:t>
      </w:r>
      <w:r w:rsidRPr="00053D1C">
        <w:rPr>
          <w:color w:val="000000" w:themeColor="text1"/>
        </w:rPr>
        <w:t xml:space="preserve">to the </w:t>
      </w:r>
      <w:r>
        <w:rPr>
          <w:color w:val="000000" w:themeColor="text1"/>
        </w:rPr>
        <w:t>Assured Shorthold Tenancy (Starter Tenancy)</w:t>
      </w:r>
      <w:r w:rsidRPr="00053D1C">
        <w:rPr>
          <w:color w:val="000000" w:themeColor="text1"/>
        </w:rPr>
        <w:t xml:space="preserve">, </w:t>
      </w:r>
      <w:r>
        <w:rPr>
          <w:color w:val="000000" w:themeColor="text1"/>
        </w:rPr>
        <w:t>a</w:t>
      </w:r>
      <w:r w:rsidRPr="00053D1C">
        <w:rPr>
          <w:color w:val="000000" w:themeColor="text1"/>
        </w:rPr>
        <w:t xml:space="preserve"> review of the tenant’s c</w:t>
      </w:r>
      <w:r>
        <w:rPr>
          <w:color w:val="000000" w:themeColor="text1"/>
        </w:rPr>
        <w:t>onduct</w:t>
      </w:r>
      <w:r w:rsidRPr="00EB1FA6">
        <w:rPr>
          <w:color w:val="000000" w:themeColor="text1"/>
        </w:rPr>
        <w:t xml:space="preserve"> </w:t>
      </w:r>
      <w:r w:rsidRPr="00053D1C">
        <w:rPr>
          <w:color w:val="000000" w:themeColor="text1"/>
        </w:rPr>
        <w:t>will be carried out</w:t>
      </w:r>
      <w:r>
        <w:rPr>
          <w:color w:val="000000" w:themeColor="text1"/>
        </w:rPr>
        <w:t xml:space="preserve">, to determine whether an Assured (Non-Shorthold) Tenancy should be offered at the end of 12 months or </w:t>
      </w:r>
      <w:r w:rsidRPr="00053D1C">
        <w:rPr>
          <w:color w:val="000000" w:themeColor="text1"/>
        </w:rPr>
        <w:t xml:space="preserve">whether the tenancy should be ended at the </w:t>
      </w:r>
      <w:r>
        <w:rPr>
          <w:color w:val="000000" w:themeColor="text1"/>
        </w:rPr>
        <w:t>end of 12 months</w:t>
      </w:r>
      <w:r w:rsidRPr="00053D1C">
        <w:rPr>
          <w:color w:val="000000" w:themeColor="text1"/>
        </w:rPr>
        <w:t xml:space="preserve"> through the service of a Section 21 Notice. The rent payment history </w:t>
      </w:r>
      <w:r>
        <w:rPr>
          <w:color w:val="000000" w:themeColor="text1"/>
        </w:rPr>
        <w:t xml:space="preserve">and the behaviour </w:t>
      </w:r>
      <w:r w:rsidRPr="00053D1C">
        <w:rPr>
          <w:color w:val="000000" w:themeColor="text1"/>
        </w:rPr>
        <w:t xml:space="preserve">of the tenant will be considered as part of the review. </w:t>
      </w:r>
    </w:p>
    <w:p w:rsidR="004714E2" w:rsidRPr="00053D1C" w:rsidRDefault="004714E2" w:rsidP="004714E2">
      <w:pPr>
        <w:autoSpaceDE w:val="0"/>
        <w:autoSpaceDN w:val="0"/>
        <w:adjustRightInd w:val="0"/>
        <w:rPr>
          <w:color w:val="000000" w:themeColor="text1"/>
        </w:rPr>
      </w:pPr>
    </w:p>
    <w:p w:rsidR="004714E2" w:rsidRPr="00053D1C" w:rsidRDefault="004714E2" w:rsidP="004714E2">
      <w:pPr>
        <w:autoSpaceDE w:val="0"/>
        <w:autoSpaceDN w:val="0"/>
        <w:adjustRightInd w:val="0"/>
        <w:rPr>
          <w:b/>
          <w:bCs/>
          <w:color w:val="000000" w:themeColor="text1"/>
        </w:rPr>
      </w:pPr>
      <w:r w:rsidRPr="00053D1C">
        <w:rPr>
          <w:color w:val="000000" w:themeColor="text1"/>
        </w:rPr>
        <w:t xml:space="preserve">OCHL will ensure that there is an appeals process and that the Appeals Panel will decide the merits of the case and determine whether possession should be sought or </w:t>
      </w:r>
      <w:r>
        <w:rPr>
          <w:color w:val="000000" w:themeColor="text1"/>
        </w:rPr>
        <w:t>whether an Assured (Non-Shorthold) Tenancy should be granted</w:t>
      </w:r>
      <w:r w:rsidRPr="00053D1C">
        <w:rPr>
          <w:color w:val="000000" w:themeColor="text1"/>
        </w:rPr>
        <w:t>.</w:t>
      </w:r>
      <w:r w:rsidRPr="00053D1C">
        <w:rPr>
          <w:b/>
          <w:bCs/>
          <w:color w:val="000000" w:themeColor="text1"/>
        </w:rPr>
        <w:t xml:space="preserve"> </w:t>
      </w:r>
    </w:p>
    <w:p w:rsidR="006F2CFD" w:rsidRDefault="006F2CFD" w:rsidP="0069279D"/>
    <w:p w:rsidR="008F041A" w:rsidRPr="00D336A0" w:rsidRDefault="008C0226" w:rsidP="00032594">
      <w:pPr>
        <w:rPr>
          <w:b/>
          <w:bCs/>
          <w:color w:val="1F497D" w:themeColor="text2"/>
        </w:rPr>
      </w:pPr>
      <w:r w:rsidRPr="00D336A0">
        <w:rPr>
          <w:b/>
          <w:bCs/>
        </w:rPr>
        <w:t xml:space="preserve">Monitoring </w:t>
      </w:r>
    </w:p>
    <w:p w:rsidR="008C0226" w:rsidRDefault="008C0226" w:rsidP="008F041A">
      <w:pPr>
        <w:pStyle w:val="Default"/>
      </w:pPr>
    </w:p>
    <w:p w:rsidR="002D3632" w:rsidRPr="00765D2B" w:rsidRDefault="002D3632" w:rsidP="002D3632">
      <w:pPr>
        <w:pStyle w:val="Default"/>
        <w:rPr>
          <w:color w:val="auto"/>
        </w:rPr>
      </w:pPr>
      <w:r w:rsidRPr="00765D2B">
        <w:rPr>
          <w:color w:val="auto"/>
        </w:rPr>
        <w:t xml:space="preserve">This policy will be monitored through the </w:t>
      </w:r>
      <w:r w:rsidR="0069279D">
        <w:rPr>
          <w:color w:val="auto"/>
        </w:rPr>
        <w:t>regular</w:t>
      </w:r>
      <w:r w:rsidRPr="00765D2B">
        <w:rPr>
          <w:color w:val="auto"/>
        </w:rPr>
        <w:t xml:space="preserve"> policy review programme. </w:t>
      </w:r>
    </w:p>
    <w:sectPr w:rsidR="002D3632" w:rsidRPr="00765D2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8F" w:rsidRDefault="000C0A8F" w:rsidP="00081139">
      <w:r>
        <w:separator/>
      </w:r>
    </w:p>
  </w:endnote>
  <w:endnote w:type="continuationSeparator" w:id="0">
    <w:p w:rsidR="000C0A8F" w:rsidRDefault="000C0A8F" w:rsidP="0008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F4" w:rsidRDefault="00EE19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441592"/>
      <w:docPartObj>
        <w:docPartGallery w:val="Page Numbers (Bottom of Page)"/>
        <w:docPartUnique/>
      </w:docPartObj>
    </w:sdtPr>
    <w:sdtEndPr/>
    <w:sdtContent>
      <w:sdt>
        <w:sdtPr>
          <w:id w:val="860082579"/>
          <w:docPartObj>
            <w:docPartGallery w:val="Page Numbers (Top of Page)"/>
            <w:docPartUnique/>
          </w:docPartObj>
        </w:sdtPr>
        <w:sdtEndPr/>
        <w:sdtContent>
          <w:p w:rsidR="00081139" w:rsidRDefault="00081139">
            <w:pPr>
              <w:pStyle w:val="Footer"/>
              <w:jc w:val="right"/>
            </w:pPr>
            <w:r>
              <w:t xml:space="preserve">Page </w:t>
            </w:r>
            <w:r>
              <w:rPr>
                <w:b/>
                <w:bCs/>
              </w:rPr>
              <w:fldChar w:fldCharType="begin"/>
            </w:r>
            <w:r>
              <w:rPr>
                <w:b/>
                <w:bCs/>
              </w:rPr>
              <w:instrText xml:space="preserve"> PAGE </w:instrText>
            </w:r>
            <w:r>
              <w:rPr>
                <w:b/>
                <w:bCs/>
              </w:rPr>
              <w:fldChar w:fldCharType="separate"/>
            </w:r>
            <w:r w:rsidR="004C6AFA">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4C6AFA">
              <w:rPr>
                <w:b/>
                <w:bCs/>
                <w:noProof/>
              </w:rPr>
              <w:t>6</w:t>
            </w:r>
            <w:r>
              <w:rPr>
                <w:b/>
                <w:bCs/>
              </w:rPr>
              <w:fldChar w:fldCharType="end"/>
            </w:r>
          </w:p>
        </w:sdtContent>
      </w:sdt>
    </w:sdtContent>
  </w:sdt>
  <w:p w:rsidR="00081139" w:rsidRDefault="000811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F4" w:rsidRDefault="00EE1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8F" w:rsidRDefault="000C0A8F" w:rsidP="00081139">
      <w:r>
        <w:separator/>
      </w:r>
    </w:p>
  </w:footnote>
  <w:footnote w:type="continuationSeparator" w:id="0">
    <w:p w:rsidR="000C0A8F" w:rsidRDefault="000C0A8F" w:rsidP="00081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A8" w:rsidRDefault="006C1F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39" w:rsidRPr="008C0226" w:rsidRDefault="00081139" w:rsidP="00081139">
    <w:pPr>
      <w:pStyle w:val="Default"/>
    </w:pPr>
  </w:p>
  <w:p w:rsidR="00081139" w:rsidRPr="0038198E" w:rsidRDefault="00081139" w:rsidP="00081139">
    <w:pPr>
      <w:jc w:val="right"/>
      <w:rPr>
        <w:rFonts w:ascii="Microsoft Sans Serif" w:eastAsia="Gulim" w:hAnsi="Microsoft Sans Serif" w:cs="Microsoft Sans Serif"/>
        <w:b/>
        <w:color w:val="0000FF"/>
        <w:sz w:val="56"/>
        <w:szCs w:val="56"/>
      </w:rPr>
    </w:pPr>
    <w:r w:rsidRPr="0038198E">
      <w:rPr>
        <w:rFonts w:ascii="Microsoft Sans Serif" w:eastAsia="Gulim" w:hAnsi="Microsoft Sans Serif" w:cs="Microsoft Sans Serif"/>
        <w:b/>
        <w:color w:val="0000FF"/>
        <w:sz w:val="56"/>
        <w:szCs w:val="56"/>
      </w:rPr>
      <w:t>OCHL</w:t>
    </w:r>
  </w:p>
  <w:p w:rsidR="00081139" w:rsidRPr="0038198E" w:rsidRDefault="00081139" w:rsidP="00081139">
    <w:pPr>
      <w:jc w:val="right"/>
      <w:rPr>
        <w:rFonts w:ascii="Gulim" w:eastAsia="Gulim" w:hAnsi="Gulim" w:cs="Tahoma"/>
        <w:b/>
        <w:color w:val="0000FF"/>
        <w:sz w:val="20"/>
        <w:szCs w:val="20"/>
      </w:rPr>
    </w:pPr>
    <w:r>
      <w:rPr>
        <w:noProof/>
        <w:lang w:eastAsia="en-GB"/>
      </w:rPr>
      <mc:AlternateContent>
        <mc:Choice Requires="wps">
          <w:drawing>
            <wp:anchor distT="4294967295" distB="4294967295" distL="114300" distR="114300" simplePos="0" relativeHeight="251659264" behindDoc="0" locked="0" layoutInCell="1" allowOverlap="1" wp14:anchorId="2BC68A78" wp14:editId="7ABAD5F0">
              <wp:simplePos x="0" y="0"/>
              <wp:positionH relativeFrom="column">
                <wp:posOffset>4319270</wp:posOffset>
              </wp:positionH>
              <wp:positionV relativeFrom="paragraph">
                <wp:posOffset>50164</wp:posOffset>
              </wp:positionV>
              <wp:extent cx="160083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835" cy="0"/>
                      </a:xfrm>
                      <a:prstGeom prst="line">
                        <a:avLst/>
                      </a:prstGeom>
                      <a:noFill/>
                      <a:ln w="19050" cap="flat" cmpd="sng" algn="ctr">
                        <a:solidFill>
                          <a:srgbClr val="0000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0.1pt,3.95pt" to="46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" strokecolor="blue" strokeweight="1.5pt">
              <o:lock v:ext="edit" shapetype="f"/>
            </v:line>
          </w:pict>
        </mc:Fallback>
      </mc:AlternateContent>
    </w:r>
  </w:p>
  <w:p w:rsidR="005C582C" w:rsidRPr="0038198E" w:rsidRDefault="005C582C" w:rsidP="005C582C">
    <w:pPr>
      <w:jc w:val="right"/>
      <w:rPr>
        <w:rFonts w:ascii="Microsoft Sans Serif" w:eastAsia="Gulim" w:hAnsi="Microsoft Sans Serif" w:cs="Microsoft Sans Serif"/>
        <w:color w:val="0000FF"/>
        <w:sz w:val="20"/>
        <w:szCs w:val="20"/>
      </w:rPr>
    </w:pPr>
    <w:r w:rsidRPr="0038198E">
      <w:rPr>
        <w:rFonts w:ascii="Microsoft Sans Serif" w:eastAsia="Gulim" w:hAnsi="Microsoft Sans Serif" w:cs="Microsoft Sans Serif"/>
        <w:color w:val="0000FF"/>
        <w:sz w:val="20"/>
        <w:szCs w:val="20"/>
      </w:rPr>
      <w:t xml:space="preserve">Oxford City Housing </w:t>
    </w:r>
    <w:r>
      <w:rPr>
        <w:rFonts w:ascii="Microsoft Sans Serif" w:eastAsia="Gulim" w:hAnsi="Microsoft Sans Serif" w:cs="Microsoft Sans Serif"/>
        <w:color w:val="0000FF"/>
        <w:sz w:val="20"/>
        <w:szCs w:val="20"/>
      </w:rPr>
      <w:t xml:space="preserve">(Investment) </w:t>
    </w:r>
    <w:r w:rsidRPr="0038198E">
      <w:rPr>
        <w:rFonts w:ascii="Microsoft Sans Serif" w:eastAsia="Gulim" w:hAnsi="Microsoft Sans Serif" w:cs="Microsoft Sans Serif"/>
        <w:color w:val="0000FF"/>
        <w:sz w:val="20"/>
        <w:szCs w:val="20"/>
      </w:rPr>
      <w:t>Limited</w:t>
    </w:r>
  </w:p>
  <w:p w:rsidR="00081139" w:rsidRDefault="000811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A8" w:rsidRDefault="006C1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841"/>
    <w:multiLevelType w:val="hybridMultilevel"/>
    <w:tmpl w:val="41B2C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A04E2"/>
    <w:multiLevelType w:val="hybridMultilevel"/>
    <w:tmpl w:val="F420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31368"/>
    <w:multiLevelType w:val="hybridMultilevel"/>
    <w:tmpl w:val="4FF4BD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16259FA"/>
    <w:multiLevelType w:val="multilevel"/>
    <w:tmpl w:val="60F03436"/>
    <w:lvl w:ilvl="0">
      <w:start w:val="1"/>
      <w:numFmt w:val="decimal"/>
      <w:pStyle w:val="Heading1"/>
      <w:lvlText w:val="%1"/>
      <w:lvlJc w:val="left"/>
      <w:pPr>
        <w:ind w:left="432" w:hanging="432"/>
      </w:pPr>
      <w:rPr>
        <w:rFonts w:hint="default"/>
        <w:i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22530CE8"/>
    <w:multiLevelType w:val="hybridMultilevel"/>
    <w:tmpl w:val="C31E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92151"/>
    <w:multiLevelType w:val="hybridMultilevel"/>
    <w:tmpl w:val="CCEA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627FB"/>
    <w:multiLevelType w:val="hybridMultilevel"/>
    <w:tmpl w:val="1BFE2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FE6070"/>
    <w:multiLevelType w:val="hybridMultilevel"/>
    <w:tmpl w:val="C540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DD4D32"/>
    <w:multiLevelType w:val="hybridMultilevel"/>
    <w:tmpl w:val="14A8D4D0"/>
    <w:lvl w:ilvl="0" w:tplc="FAE27A38">
      <w:start w:val="1"/>
      <w:numFmt w:val="lowerLetter"/>
      <w:lvlText w:val="(%1)"/>
      <w:lvlJc w:val="left"/>
      <w:pPr>
        <w:ind w:left="936" w:hanging="360"/>
      </w:pPr>
      <w:rPr>
        <w:rFonts w:hint="default"/>
      </w:rPr>
    </w:lvl>
    <w:lvl w:ilvl="1" w:tplc="A75AB35E">
      <w:start w:val="1"/>
      <w:numFmt w:val="lowerLetter"/>
      <w:lvlText w:val="%2)"/>
      <w:lvlJc w:val="left"/>
      <w:pPr>
        <w:ind w:left="1656" w:hanging="360"/>
      </w:pPr>
      <w:rPr>
        <w:rFonts w:hint="default"/>
      </w:r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9">
    <w:nsid w:val="316F2FB4"/>
    <w:multiLevelType w:val="hybridMultilevel"/>
    <w:tmpl w:val="4746B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2E37A3A"/>
    <w:multiLevelType w:val="hybridMultilevel"/>
    <w:tmpl w:val="9BAA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B53381"/>
    <w:multiLevelType w:val="hybridMultilevel"/>
    <w:tmpl w:val="3614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B26FEA"/>
    <w:multiLevelType w:val="hybridMultilevel"/>
    <w:tmpl w:val="67C8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AC429E"/>
    <w:multiLevelType w:val="hybridMultilevel"/>
    <w:tmpl w:val="AB72D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59A579E"/>
    <w:multiLevelType w:val="hybridMultilevel"/>
    <w:tmpl w:val="1CBC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BD14BC"/>
    <w:multiLevelType w:val="hybridMultilevel"/>
    <w:tmpl w:val="62F8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C611F6"/>
    <w:multiLevelType w:val="hybridMultilevel"/>
    <w:tmpl w:val="7D5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3E4639"/>
    <w:multiLevelType w:val="hybridMultilevel"/>
    <w:tmpl w:val="9B6C2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F9041F"/>
    <w:multiLevelType w:val="hybridMultilevel"/>
    <w:tmpl w:val="83864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F30E53"/>
    <w:multiLevelType w:val="hybridMultilevel"/>
    <w:tmpl w:val="560A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501754"/>
    <w:multiLevelType w:val="hybridMultilevel"/>
    <w:tmpl w:val="BF409FEC"/>
    <w:lvl w:ilvl="0" w:tplc="08090001">
      <w:start w:val="1"/>
      <w:numFmt w:val="bullet"/>
      <w:lvlText w:val=""/>
      <w:lvlJc w:val="left"/>
      <w:pPr>
        <w:ind w:left="1080" w:hanging="360"/>
      </w:pPr>
      <w:rPr>
        <w:rFonts w:ascii="Symbol" w:hAnsi="Symbol" w:hint="default"/>
      </w:rPr>
    </w:lvl>
    <w:lvl w:ilvl="1" w:tplc="945C300E">
      <w:numFmt w:val="bullet"/>
      <w:lvlText w:val="•"/>
      <w:lvlJc w:val="left"/>
      <w:pPr>
        <w:ind w:left="2160" w:hanging="72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99F1F36"/>
    <w:multiLevelType w:val="hybridMultilevel"/>
    <w:tmpl w:val="80909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13"/>
  </w:num>
  <w:num w:numId="4">
    <w:abstractNumId w:val="5"/>
  </w:num>
  <w:num w:numId="5">
    <w:abstractNumId w:val="19"/>
  </w:num>
  <w:num w:numId="6">
    <w:abstractNumId w:val="18"/>
  </w:num>
  <w:num w:numId="7">
    <w:abstractNumId w:val="10"/>
  </w:num>
  <w:num w:numId="8">
    <w:abstractNumId w:val="0"/>
  </w:num>
  <w:num w:numId="9">
    <w:abstractNumId w:val="2"/>
  </w:num>
  <w:num w:numId="10">
    <w:abstractNumId w:val="4"/>
  </w:num>
  <w:num w:numId="11">
    <w:abstractNumId w:val="14"/>
  </w:num>
  <w:num w:numId="12">
    <w:abstractNumId w:val="1"/>
  </w:num>
  <w:num w:numId="13">
    <w:abstractNumId w:val="3"/>
  </w:num>
  <w:num w:numId="14">
    <w:abstractNumId w:val="8"/>
  </w:num>
  <w:num w:numId="15">
    <w:abstractNumId w:val="21"/>
  </w:num>
  <w:num w:numId="16">
    <w:abstractNumId w:val="17"/>
  </w:num>
  <w:num w:numId="17">
    <w:abstractNumId w:val="6"/>
  </w:num>
  <w:num w:numId="18">
    <w:abstractNumId w:val="9"/>
  </w:num>
  <w:num w:numId="19">
    <w:abstractNumId w:val="15"/>
  </w:num>
  <w:num w:numId="20">
    <w:abstractNumId w:val="7"/>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1A"/>
    <w:rsid w:val="000173D6"/>
    <w:rsid w:val="00032594"/>
    <w:rsid w:val="00042CE2"/>
    <w:rsid w:val="000434C1"/>
    <w:rsid w:val="00061A9D"/>
    <w:rsid w:val="00075DEF"/>
    <w:rsid w:val="00081139"/>
    <w:rsid w:val="00082720"/>
    <w:rsid w:val="00084211"/>
    <w:rsid w:val="00084B5C"/>
    <w:rsid w:val="000918EF"/>
    <w:rsid w:val="00097620"/>
    <w:rsid w:val="000B4310"/>
    <w:rsid w:val="000C0A8F"/>
    <w:rsid w:val="000C778D"/>
    <w:rsid w:val="000E4056"/>
    <w:rsid w:val="000F6647"/>
    <w:rsid w:val="001136F2"/>
    <w:rsid w:val="001800CA"/>
    <w:rsid w:val="001B1F82"/>
    <w:rsid w:val="001C2684"/>
    <w:rsid w:val="001F4B81"/>
    <w:rsid w:val="001F5551"/>
    <w:rsid w:val="0020770A"/>
    <w:rsid w:val="002827FB"/>
    <w:rsid w:val="00293741"/>
    <w:rsid w:val="002973E9"/>
    <w:rsid w:val="002D3632"/>
    <w:rsid w:val="0030589F"/>
    <w:rsid w:val="00327EB2"/>
    <w:rsid w:val="00372A1B"/>
    <w:rsid w:val="003B32EE"/>
    <w:rsid w:val="004000D7"/>
    <w:rsid w:val="00406BB6"/>
    <w:rsid w:val="0044405D"/>
    <w:rsid w:val="00456BEE"/>
    <w:rsid w:val="004714E2"/>
    <w:rsid w:val="004B2D83"/>
    <w:rsid w:val="004C6AFA"/>
    <w:rsid w:val="004C7D7D"/>
    <w:rsid w:val="005046DD"/>
    <w:rsid w:val="00504E43"/>
    <w:rsid w:val="00505A44"/>
    <w:rsid w:val="0052271B"/>
    <w:rsid w:val="005C582C"/>
    <w:rsid w:val="0064004C"/>
    <w:rsid w:val="00664784"/>
    <w:rsid w:val="0068438C"/>
    <w:rsid w:val="0069279D"/>
    <w:rsid w:val="006C1FA8"/>
    <w:rsid w:val="006E716D"/>
    <w:rsid w:val="006F2CFD"/>
    <w:rsid w:val="0073632C"/>
    <w:rsid w:val="00753C25"/>
    <w:rsid w:val="007717AD"/>
    <w:rsid w:val="00781CD5"/>
    <w:rsid w:val="007852D5"/>
    <w:rsid w:val="007908F4"/>
    <w:rsid w:val="00791AC0"/>
    <w:rsid w:val="00822D38"/>
    <w:rsid w:val="00823928"/>
    <w:rsid w:val="00823A12"/>
    <w:rsid w:val="00856B79"/>
    <w:rsid w:val="008A22C6"/>
    <w:rsid w:val="008A5BDC"/>
    <w:rsid w:val="008C0226"/>
    <w:rsid w:val="008C7F97"/>
    <w:rsid w:val="008F041A"/>
    <w:rsid w:val="00915DC8"/>
    <w:rsid w:val="00920320"/>
    <w:rsid w:val="00997F9F"/>
    <w:rsid w:val="009F566C"/>
    <w:rsid w:val="00A06086"/>
    <w:rsid w:val="00A13094"/>
    <w:rsid w:val="00A63E10"/>
    <w:rsid w:val="00A75E15"/>
    <w:rsid w:val="00A96B7A"/>
    <w:rsid w:val="00AA5E3A"/>
    <w:rsid w:val="00AF56F7"/>
    <w:rsid w:val="00B050F7"/>
    <w:rsid w:val="00B0743A"/>
    <w:rsid w:val="00B4214E"/>
    <w:rsid w:val="00B608EC"/>
    <w:rsid w:val="00B707BF"/>
    <w:rsid w:val="00B82B32"/>
    <w:rsid w:val="00C00934"/>
    <w:rsid w:val="00C07F80"/>
    <w:rsid w:val="00C327D5"/>
    <w:rsid w:val="00C568B1"/>
    <w:rsid w:val="00CD40CD"/>
    <w:rsid w:val="00CE75FD"/>
    <w:rsid w:val="00D336A0"/>
    <w:rsid w:val="00D4621C"/>
    <w:rsid w:val="00D47C77"/>
    <w:rsid w:val="00D760B1"/>
    <w:rsid w:val="00DD111E"/>
    <w:rsid w:val="00E03FDE"/>
    <w:rsid w:val="00E20C41"/>
    <w:rsid w:val="00E27571"/>
    <w:rsid w:val="00E35824"/>
    <w:rsid w:val="00E4508D"/>
    <w:rsid w:val="00E817D4"/>
    <w:rsid w:val="00ED30BE"/>
    <w:rsid w:val="00EE19F4"/>
    <w:rsid w:val="00F47CA9"/>
    <w:rsid w:val="00F533D7"/>
    <w:rsid w:val="00F76788"/>
    <w:rsid w:val="00FA17A9"/>
    <w:rsid w:val="00FA5C50"/>
    <w:rsid w:val="00FD3A85"/>
    <w:rsid w:val="00FD7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D4621C"/>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D4621C"/>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uiPriority w:val="9"/>
    <w:unhideWhenUsed/>
    <w:qFormat/>
    <w:rsid w:val="00D4621C"/>
    <w:pPr>
      <w:keepNext/>
      <w:keepLines/>
      <w:numPr>
        <w:ilvl w:val="2"/>
        <w:numId w:val="13"/>
      </w:numPr>
      <w:spacing w:before="200"/>
      <w:outlineLvl w:val="2"/>
    </w:pPr>
    <w:rPr>
      <w:rFonts w:asciiTheme="majorHAnsi" w:eastAsiaTheme="majorEastAsia" w:hAnsiTheme="majorHAnsi" w:cstheme="majorBidi"/>
      <w:b/>
      <w:bCs/>
      <w:color w:val="4F81BD" w:themeColor="accent1"/>
      <w:lang w:eastAsia="en-GB"/>
    </w:rPr>
  </w:style>
  <w:style w:type="paragraph" w:styleId="Heading4">
    <w:name w:val="heading 4"/>
    <w:basedOn w:val="Normal"/>
    <w:next w:val="Normal"/>
    <w:link w:val="Heading4Char"/>
    <w:uiPriority w:val="9"/>
    <w:semiHidden/>
    <w:unhideWhenUsed/>
    <w:qFormat/>
    <w:rsid w:val="00D4621C"/>
    <w:pPr>
      <w:keepNext/>
      <w:keepLines/>
      <w:numPr>
        <w:ilvl w:val="3"/>
        <w:numId w:val="13"/>
      </w:numPr>
      <w:spacing w:before="200"/>
      <w:outlineLvl w:val="3"/>
    </w:pPr>
    <w:rPr>
      <w:rFonts w:asciiTheme="majorHAnsi" w:eastAsiaTheme="majorEastAsia" w:hAnsiTheme="majorHAnsi" w:cstheme="majorBidi"/>
      <w:b/>
      <w:bCs/>
      <w:i/>
      <w:iCs/>
      <w:color w:val="4F81BD" w:themeColor="accent1"/>
      <w:lang w:eastAsia="en-GB"/>
    </w:rPr>
  </w:style>
  <w:style w:type="paragraph" w:styleId="Heading5">
    <w:name w:val="heading 5"/>
    <w:basedOn w:val="Normal"/>
    <w:next w:val="Normal"/>
    <w:link w:val="Heading5Char"/>
    <w:uiPriority w:val="9"/>
    <w:semiHidden/>
    <w:unhideWhenUsed/>
    <w:qFormat/>
    <w:rsid w:val="00D4621C"/>
    <w:pPr>
      <w:keepNext/>
      <w:keepLines/>
      <w:numPr>
        <w:ilvl w:val="4"/>
        <w:numId w:val="13"/>
      </w:numPr>
      <w:spacing w:before="200"/>
      <w:outlineLvl w:val="4"/>
    </w:pPr>
    <w:rPr>
      <w:rFonts w:asciiTheme="majorHAnsi" w:eastAsiaTheme="majorEastAsia" w:hAnsiTheme="majorHAnsi" w:cstheme="majorBidi"/>
      <w:color w:val="243F60" w:themeColor="accent1" w:themeShade="7F"/>
      <w:lang w:eastAsia="en-GB"/>
    </w:rPr>
  </w:style>
  <w:style w:type="paragraph" w:styleId="Heading6">
    <w:name w:val="heading 6"/>
    <w:basedOn w:val="Normal"/>
    <w:next w:val="Normal"/>
    <w:link w:val="Heading6Char"/>
    <w:uiPriority w:val="9"/>
    <w:semiHidden/>
    <w:unhideWhenUsed/>
    <w:qFormat/>
    <w:rsid w:val="00D4621C"/>
    <w:pPr>
      <w:keepNext/>
      <w:keepLines/>
      <w:numPr>
        <w:ilvl w:val="5"/>
        <w:numId w:val="13"/>
      </w:numPr>
      <w:spacing w:before="200"/>
      <w:outlineLvl w:val="5"/>
    </w:pPr>
    <w:rPr>
      <w:rFonts w:asciiTheme="majorHAnsi" w:eastAsiaTheme="majorEastAsia" w:hAnsiTheme="majorHAnsi" w:cstheme="majorBidi"/>
      <w:i/>
      <w:iCs/>
      <w:color w:val="243F60" w:themeColor="accent1" w:themeShade="7F"/>
      <w:lang w:eastAsia="en-GB"/>
    </w:rPr>
  </w:style>
  <w:style w:type="paragraph" w:styleId="Heading7">
    <w:name w:val="heading 7"/>
    <w:basedOn w:val="Normal"/>
    <w:next w:val="Normal"/>
    <w:link w:val="Heading7Char"/>
    <w:uiPriority w:val="9"/>
    <w:semiHidden/>
    <w:unhideWhenUsed/>
    <w:qFormat/>
    <w:rsid w:val="00D4621C"/>
    <w:pPr>
      <w:keepNext/>
      <w:keepLines/>
      <w:numPr>
        <w:ilvl w:val="6"/>
        <w:numId w:val="13"/>
      </w:numPr>
      <w:spacing w:before="200"/>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uiPriority w:val="9"/>
    <w:semiHidden/>
    <w:unhideWhenUsed/>
    <w:qFormat/>
    <w:rsid w:val="00D4621C"/>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semiHidden/>
    <w:unhideWhenUsed/>
    <w:qFormat/>
    <w:rsid w:val="00D4621C"/>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41A"/>
    <w:pPr>
      <w:autoSpaceDE w:val="0"/>
      <w:autoSpaceDN w:val="0"/>
      <w:adjustRightInd w:val="0"/>
    </w:pPr>
    <w:rPr>
      <w:color w:val="000000"/>
    </w:rPr>
  </w:style>
  <w:style w:type="character" w:customStyle="1" w:styleId="Firstpagetablebold">
    <w:name w:val="First page table: bold"/>
    <w:qFormat/>
    <w:rsid w:val="00081139"/>
    <w:rPr>
      <w:rFonts w:ascii="Arial" w:hAnsi="Arial"/>
      <w:b/>
      <w:sz w:val="24"/>
    </w:rPr>
  </w:style>
  <w:style w:type="paragraph" w:styleId="Header">
    <w:name w:val="header"/>
    <w:basedOn w:val="Normal"/>
    <w:link w:val="HeaderChar"/>
    <w:uiPriority w:val="99"/>
    <w:unhideWhenUsed/>
    <w:rsid w:val="00081139"/>
    <w:pPr>
      <w:tabs>
        <w:tab w:val="center" w:pos="4513"/>
        <w:tab w:val="right" w:pos="9026"/>
      </w:tabs>
    </w:pPr>
  </w:style>
  <w:style w:type="character" w:customStyle="1" w:styleId="HeaderChar">
    <w:name w:val="Header Char"/>
    <w:basedOn w:val="DefaultParagraphFont"/>
    <w:link w:val="Header"/>
    <w:uiPriority w:val="99"/>
    <w:rsid w:val="00081139"/>
  </w:style>
  <w:style w:type="paragraph" w:styleId="Footer">
    <w:name w:val="footer"/>
    <w:basedOn w:val="Normal"/>
    <w:link w:val="FooterChar"/>
    <w:uiPriority w:val="99"/>
    <w:unhideWhenUsed/>
    <w:rsid w:val="00081139"/>
    <w:pPr>
      <w:tabs>
        <w:tab w:val="center" w:pos="4513"/>
        <w:tab w:val="right" w:pos="9026"/>
      </w:tabs>
    </w:pPr>
  </w:style>
  <w:style w:type="character" w:customStyle="1" w:styleId="FooterChar">
    <w:name w:val="Footer Char"/>
    <w:basedOn w:val="DefaultParagraphFont"/>
    <w:link w:val="Footer"/>
    <w:uiPriority w:val="99"/>
    <w:rsid w:val="00081139"/>
  </w:style>
  <w:style w:type="paragraph" w:styleId="ListParagraph">
    <w:name w:val="List Paragraph"/>
    <w:basedOn w:val="Normal"/>
    <w:uiPriority w:val="34"/>
    <w:qFormat/>
    <w:rsid w:val="00042CE2"/>
    <w:pPr>
      <w:ind w:left="720"/>
      <w:contextualSpacing/>
    </w:pPr>
  </w:style>
  <w:style w:type="character" w:styleId="Hyperlink">
    <w:name w:val="Hyperlink"/>
    <w:basedOn w:val="DefaultParagraphFont"/>
    <w:uiPriority w:val="99"/>
    <w:unhideWhenUsed/>
    <w:rsid w:val="00B707BF"/>
    <w:rPr>
      <w:color w:val="0000FF" w:themeColor="hyperlink"/>
      <w:u w:val="single"/>
    </w:rPr>
  </w:style>
  <w:style w:type="character" w:styleId="FollowedHyperlink">
    <w:name w:val="FollowedHyperlink"/>
    <w:basedOn w:val="DefaultParagraphFont"/>
    <w:uiPriority w:val="99"/>
    <w:semiHidden/>
    <w:unhideWhenUsed/>
    <w:rsid w:val="00B707BF"/>
    <w:rPr>
      <w:color w:val="800080" w:themeColor="followedHyperlink"/>
      <w:u w:val="single"/>
    </w:rPr>
  </w:style>
  <w:style w:type="character" w:customStyle="1" w:styleId="Heading1Char">
    <w:name w:val="Heading 1 Char"/>
    <w:basedOn w:val="DefaultParagraphFont"/>
    <w:link w:val="Heading1"/>
    <w:uiPriority w:val="9"/>
    <w:rsid w:val="00D4621C"/>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D4621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D4621C"/>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D4621C"/>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D4621C"/>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D4621C"/>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D4621C"/>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D4621C"/>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D4621C"/>
    <w:rPr>
      <w:rFonts w:asciiTheme="majorHAnsi" w:eastAsiaTheme="majorEastAsia" w:hAnsiTheme="majorHAnsi" w:cstheme="majorBidi"/>
      <w:i/>
      <w:iCs/>
      <w:color w:val="404040" w:themeColor="text1" w:themeTint="BF"/>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D4621C"/>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D4621C"/>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uiPriority w:val="9"/>
    <w:unhideWhenUsed/>
    <w:qFormat/>
    <w:rsid w:val="00D4621C"/>
    <w:pPr>
      <w:keepNext/>
      <w:keepLines/>
      <w:numPr>
        <w:ilvl w:val="2"/>
        <w:numId w:val="13"/>
      </w:numPr>
      <w:spacing w:before="200"/>
      <w:outlineLvl w:val="2"/>
    </w:pPr>
    <w:rPr>
      <w:rFonts w:asciiTheme="majorHAnsi" w:eastAsiaTheme="majorEastAsia" w:hAnsiTheme="majorHAnsi" w:cstheme="majorBidi"/>
      <w:b/>
      <w:bCs/>
      <w:color w:val="4F81BD" w:themeColor="accent1"/>
      <w:lang w:eastAsia="en-GB"/>
    </w:rPr>
  </w:style>
  <w:style w:type="paragraph" w:styleId="Heading4">
    <w:name w:val="heading 4"/>
    <w:basedOn w:val="Normal"/>
    <w:next w:val="Normal"/>
    <w:link w:val="Heading4Char"/>
    <w:uiPriority w:val="9"/>
    <w:semiHidden/>
    <w:unhideWhenUsed/>
    <w:qFormat/>
    <w:rsid w:val="00D4621C"/>
    <w:pPr>
      <w:keepNext/>
      <w:keepLines/>
      <w:numPr>
        <w:ilvl w:val="3"/>
        <w:numId w:val="13"/>
      </w:numPr>
      <w:spacing w:before="200"/>
      <w:outlineLvl w:val="3"/>
    </w:pPr>
    <w:rPr>
      <w:rFonts w:asciiTheme="majorHAnsi" w:eastAsiaTheme="majorEastAsia" w:hAnsiTheme="majorHAnsi" w:cstheme="majorBidi"/>
      <w:b/>
      <w:bCs/>
      <w:i/>
      <w:iCs/>
      <w:color w:val="4F81BD" w:themeColor="accent1"/>
      <w:lang w:eastAsia="en-GB"/>
    </w:rPr>
  </w:style>
  <w:style w:type="paragraph" w:styleId="Heading5">
    <w:name w:val="heading 5"/>
    <w:basedOn w:val="Normal"/>
    <w:next w:val="Normal"/>
    <w:link w:val="Heading5Char"/>
    <w:uiPriority w:val="9"/>
    <w:semiHidden/>
    <w:unhideWhenUsed/>
    <w:qFormat/>
    <w:rsid w:val="00D4621C"/>
    <w:pPr>
      <w:keepNext/>
      <w:keepLines/>
      <w:numPr>
        <w:ilvl w:val="4"/>
        <w:numId w:val="13"/>
      </w:numPr>
      <w:spacing w:before="200"/>
      <w:outlineLvl w:val="4"/>
    </w:pPr>
    <w:rPr>
      <w:rFonts w:asciiTheme="majorHAnsi" w:eastAsiaTheme="majorEastAsia" w:hAnsiTheme="majorHAnsi" w:cstheme="majorBidi"/>
      <w:color w:val="243F60" w:themeColor="accent1" w:themeShade="7F"/>
      <w:lang w:eastAsia="en-GB"/>
    </w:rPr>
  </w:style>
  <w:style w:type="paragraph" w:styleId="Heading6">
    <w:name w:val="heading 6"/>
    <w:basedOn w:val="Normal"/>
    <w:next w:val="Normal"/>
    <w:link w:val="Heading6Char"/>
    <w:uiPriority w:val="9"/>
    <w:semiHidden/>
    <w:unhideWhenUsed/>
    <w:qFormat/>
    <w:rsid w:val="00D4621C"/>
    <w:pPr>
      <w:keepNext/>
      <w:keepLines/>
      <w:numPr>
        <w:ilvl w:val="5"/>
        <w:numId w:val="13"/>
      </w:numPr>
      <w:spacing w:before="200"/>
      <w:outlineLvl w:val="5"/>
    </w:pPr>
    <w:rPr>
      <w:rFonts w:asciiTheme="majorHAnsi" w:eastAsiaTheme="majorEastAsia" w:hAnsiTheme="majorHAnsi" w:cstheme="majorBidi"/>
      <w:i/>
      <w:iCs/>
      <w:color w:val="243F60" w:themeColor="accent1" w:themeShade="7F"/>
      <w:lang w:eastAsia="en-GB"/>
    </w:rPr>
  </w:style>
  <w:style w:type="paragraph" w:styleId="Heading7">
    <w:name w:val="heading 7"/>
    <w:basedOn w:val="Normal"/>
    <w:next w:val="Normal"/>
    <w:link w:val="Heading7Char"/>
    <w:uiPriority w:val="9"/>
    <w:semiHidden/>
    <w:unhideWhenUsed/>
    <w:qFormat/>
    <w:rsid w:val="00D4621C"/>
    <w:pPr>
      <w:keepNext/>
      <w:keepLines/>
      <w:numPr>
        <w:ilvl w:val="6"/>
        <w:numId w:val="13"/>
      </w:numPr>
      <w:spacing w:before="200"/>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uiPriority w:val="9"/>
    <w:semiHidden/>
    <w:unhideWhenUsed/>
    <w:qFormat/>
    <w:rsid w:val="00D4621C"/>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semiHidden/>
    <w:unhideWhenUsed/>
    <w:qFormat/>
    <w:rsid w:val="00D4621C"/>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41A"/>
    <w:pPr>
      <w:autoSpaceDE w:val="0"/>
      <w:autoSpaceDN w:val="0"/>
      <w:adjustRightInd w:val="0"/>
    </w:pPr>
    <w:rPr>
      <w:color w:val="000000"/>
    </w:rPr>
  </w:style>
  <w:style w:type="character" w:customStyle="1" w:styleId="Firstpagetablebold">
    <w:name w:val="First page table: bold"/>
    <w:qFormat/>
    <w:rsid w:val="00081139"/>
    <w:rPr>
      <w:rFonts w:ascii="Arial" w:hAnsi="Arial"/>
      <w:b/>
      <w:sz w:val="24"/>
    </w:rPr>
  </w:style>
  <w:style w:type="paragraph" w:styleId="Header">
    <w:name w:val="header"/>
    <w:basedOn w:val="Normal"/>
    <w:link w:val="HeaderChar"/>
    <w:uiPriority w:val="99"/>
    <w:unhideWhenUsed/>
    <w:rsid w:val="00081139"/>
    <w:pPr>
      <w:tabs>
        <w:tab w:val="center" w:pos="4513"/>
        <w:tab w:val="right" w:pos="9026"/>
      </w:tabs>
    </w:pPr>
  </w:style>
  <w:style w:type="character" w:customStyle="1" w:styleId="HeaderChar">
    <w:name w:val="Header Char"/>
    <w:basedOn w:val="DefaultParagraphFont"/>
    <w:link w:val="Header"/>
    <w:uiPriority w:val="99"/>
    <w:rsid w:val="00081139"/>
  </w:style>
  <w:style w:type="paragraph" w:styleId="Footer">
    <w:name w:val="footer"/>
    <w:basedOn w:val="Normal"/>
    <w:link w:val="FooterChar"/>
    <w:uiPriority w:val="99"/>
    <w:unhideWhenUsed/>
    <w:rsid w:val="00081139"/>
    <w:pPr>
      <w:tabs>
        <w:tab w:val="center" w:pos="4513"/>
        <w:tab w:val="right" w:pos="9026"/>
      </w:tabs>
    </w:pPr>
  </w:style>
  <w:style w:type="character" w:customStyle="1" w:styleId="FooterChar">
    <w:name w:val="Footer Char"/>
    <w:basedOn w:val="DefaultParagraphFont"/>
    <w:link w:val="Footer"/>
    <w:uiPriority w:val="99"/>
    <w:rsid w:val="00081139"/>
  </w:style>
  <w:style w:type="paragraph" w:styleId="ListParagraph">
    <w:name w:val="List Paragraph"/>
    <w:basedOn w:val="Normal"/>
    <w:uiPriority w:val="34"/>
    <w:qFormat/>
    <w:rsid w:val="00042CE2"/>
    <w:pPr>
      <w:ind w:left="720"/>
      <w:contextualSpacing/>
    </w:pPr>
  </w:style>
  <w:style w:type="character" w:styleId="Hyperlink">
    <w:name w:val="Hyperlink"/>
    <w:basedOn w:val="DefaultParagraphFont"/>
    <w:uiPriority w:val="99"/>
    <w:unhideWhenUsed/>
    <w:rsid w:val="00B707BF"/>
    <w:rPr>
      <w:color w:val="0000FF" w:themeColor="hyperlink"/>
      <w:u w:val="single"/>
    </w:rPr>
  </w:style>
  <w:style w:type="character" w:styleId="FollowedHyperlink">
    <w:name w:val="FollowedHyperlink"/>
    <w:basedOn w:val="DefaultParagraphFont"/>
    <w:uiPriority w:val="99"/>
    <w:semiHidden/>
    <w:unhideWhenUsed/>
    <w:rsid w:val="00B707BF"/>
    <w:rPr>
      <w:color w:val="800080" w:themeColor="followedHyperlink"/>
      <w:u w:val="single"/>
    </w:rPr>
  </w:style>
  <w:style w:type="character" w:customStyle="1" w:styleId="Heading1Char">
    <w:name w:val="Heading 1 Char"/>
    <w:basedOn w:val="DefaultParagraphFont"/>
    <w:link w:val="Heading1"/>
    <w:uiPriority w:val="9"/>
    <w:rsid w:val="00D4621C"/>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D4621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D4621C"/>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D4621C"/>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D4621C"/>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D4621C"/>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D4621C"/>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D4621C"/>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D4621C"/>
    <w:rPr>
      <w:rFonts w:asciiTheme="majorHAnsi" w:eastAsiaTheme="majorEastAsia" w:hAnsiTheme="majorHAnsi" w:cstheme="majorBidi"/>
      <w:i/>
      <w:iCs/>
      <w:color w:val="404040" w:themeColor="text1" w:themeTint="B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7281">
      <w:bodyDiv w:val="1"/>
      <w:marLeft w:val="0"/>
      <w:marRight w:val="0"/>
      <w:marTop w:val="0"/>
      <w:marBottom w:val="0"/>
      <w:divBdr>
        <w:top w:val="none" w:sz="0" w:space="0" w:color="auto"/>
        <w:left w:val="none" w:sz="0" w:space="0" w:color="auto"/>
        <w:bottom w:val="none" w:sz="0" w:space="0" w:color="auto"/>
        <w:right w:val="none" w:sz="0" w:space="0" w:color="auto"/>
      </w:divBdr>
    </w:div>
    <w:div w:id="440296001">
      <w:bodyDiv w:val="1"/>
      <w:marLeft w:val="0"/>
      <w:marRight w:val="0"/>
      <w:marTop w:val="0"/>
      <w:marBottom w:val="0"/>
      <w:divBdr>
        <w:top w:val="none" w:sz="0" w:space="0" w:color="auto"/>
        <w:left w:val="none" w:sz="0" w:space="0" w:color="auto"/>
        <w:bottom w:val="none" w:sz="0" w:space="0" w:color="auto"/>
        <w:right w:val="none" w:sz="0" w:space="0" w:color="auto"/>
      </w:divBdr>
    </w:div>
    <w:div w:id="787436546">
      <w:bodyDiv w:val="1"/>
      <w:marLeft w:val="0"/>
      <w:marRight w:val="0"/>
      <w:marTop w:val="0"/>
      <w:marBottom w:val="0"/>
      <w:divBdr>
        <w:top w:val="none" w:sz="0" w:space="0" w:color="auto"/>
        <w:left w:val="none" w:sz="0" w:space="0" w:color="auto"/>
        <w:bottom w:val="none" w:sz="0" w:space="0" w:color="auto"/>
        <w:right w:val="none" w:sz="0" w:space="0" w:color="auto"/>
      </w:divBdr>
    </w:div>
    <w:div w:id="955598354">
      <w:bodyDiv w:val="1"/>
      <w:marLeft w:val="0"/>
      <w:marRight w:val="0"/>
      <w:marTop w:val="0"/>
      <w:marBottom w:val="0"/>
      <w:divBdr>
        <w:top w:val="none" w:sz="0" w:space="0" w:color="auto"/>
        <w:left w:val="none" w:sz="0" w:space="0" w:color="auto"/>
        <w:bottom w:val="none" w:sz="0" w:space="0" w:color="auto"/>
        <w:right w:val="none" w:sz="0" w:space="0" w:color="auto"/>
      </w:divBdr>
    </w:div>
    <w:div w:id="1302659984">
      <w:bodyDiv w:val="1"/>
      <w:marLeft w:val="0"/>
      <w:marRight w:val="0"/>
      <w:marTop w:val="0"/>
      <w:marBottom w:val="0"/>
      <w:divBdr>
        <w:top w:val="none" w:sz="0" w:space="0" w:color="auto"/>
        <w:left w:val="none" w:sz="0" w:space="0" w:color="auto"/>
        <w:bottom w:val="none" w:sz="0" w:space="0" w:color="auto"/>
        <w:right w:val="none" w:sz="0" w:space="0" w:color="auto"/>
      </w:divBdr>
    </w:div>
    <w:div w:id="1635713977">
      <w:bodyDiv w:val="1"/>
      <w:marLeft w:val="0"/>
      <w:marRight w:val="0"/>
      <w:marTop w:val="0"/>
      <w:marBottom w:val="0"/>
      <w:divBdr>
        <w:top w:val="none" w:sz="0" w:space="0" w:color="auto"/>
        <w:left w:val="none" w:sz="0" w:space="0" w:color="auto"/>
        <w:bottom w:val="none" w:sz="0" w:space="0" w:color="auto"/>
        <w:right w:val="none" w:sz="0" w:space="0" w:color="auto"/>
      </w:divBdr>
    </w:div>
    <w:div w:id="1997951806">
      <w:bodyDiv w:val="1"/>
      <w:marLeft w:val="0"/>
      <w:marRight w:val="0"/>
      <w:marTop w:val="0"/>
      <w:marBottom w:val="0"/>
      <w:divBdr>
        <w:top w:val="none" w:sz="0" w:space="0" w:color="auto"/>
        <w:left w:val="none" w:sz="0" w:space="0" w:color="auto"/>
        <w:bottom w:val="none" w:sz="0" w:space="0" w:color="auto"/>
        <w:right w:val="none" w:sz="0" w:space="0" w:color="auto"/>
      </w:divBdr>
    </w:div>
    <w:div w:id="214319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E8B4-637E-47EC-BA89-595E7372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AB5C3EB3</Template>
  <TotalTime>60</TotalTime>
  <Pages>6</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bgraves</dc:creator>
  <cp:lastModifiedBy>cphythian</cp:lastModifiedBy>
  <cp:revision>7</cp:revision>
  <dcterms:created xsi:type="dcterms:W3CDTF">2018-03-05T08:45:00Z</dcterms:created>
  <dcterms:modified xsi:type="dcterms:W3CDTF">2018-03-12T14:00:00Z</dcterms:modified>
</cp:coreProperties>
</file>